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000000">
        <w:tc>
          <w:tcPr>
            <w:tcW w:w="5000" w:type="pct"/>
            <w:hideMark/>
          </w:tcPr>
          <w:p w:rsidR="00000000" w:rsidRDefault="0057521F">
            <w:pPr>
              <w:pStyle w:val="rvps7"/>
            </w:pPr>
            <w:bookmarkStart w:id="0" w:name="_GoBack"/>
            <w:bookmarkEnd w:id="0"/>
            <w:r>
              <w:rPr>
                <w:noProof/>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c>
          <w:tcPr>
            <w:tcW w:w="5000" w:type="pct"/>
            <w:hideMark/>
          </w:tcPr>
          <w:p w:rsidR="00000000" w:rsidRDefault="0057521F">
            <w:pPr>
              <w:pStyle w:val="rvps17"/>
            </w:pPr>
            <w:r>
              <w:rPr>
                <w:rStyle w:val="rvts23"/>
              </w:rPr>
              <w:t>КАБІНЕТ МІНІСТРІВ УКРАЇНИ</w:t>
            </w:r>
            <w:r>
              <w:t xml:space="preserve"> </w:t>
            </w:r>
            <w:r>
              <w:br/>
            </w:r>
            <w:r>
              <w:rPr>
                <w:rStyle w:val="rvts64"/>
              </w:rPr>
              <w:t>ПОСТАНОВА</w:t>
            </w:r>
          </w:p>
        </w:tc>
      </w:tr>
      <w:tr w:rsidR="00000000">
        <w:tc>
          <w:tcPr>
            <w:tcW w:w="5000" w:type="pct"/>
            <w:hideMark/>
          </w:tcPr>
          <w:p w:rsidR="00000000" w:rsidRDefault="0057521F">
            <w:pPr>
              <w:pStyle w:val="rvps7"/>
            </w:pPr>
            <w:r>
              <w:rPr>
                <w:rStyle w:val="rvts9"/>
              </w:rPr>
              <w:t xml:space="preserve">від 4 грудня 2019 р. № 1178 </w:t>
            </w:r>
            <w:r>
              <w:br/>
            </w:r>
            <w:r>
              <w:rPr>
                <w:rStyle w:val="rvts9"/>
              </w:rPr>
              <w:t>Київ</w:t>
            </w:r>
          </w:p>
        </w:tc>
      </w:tr>
    </w:tbl>
    <w:p w:rsidR="00000000" w:rsidRDefault="0057521F">
      <w:pPr>
        <w:pStyle w:val="rvps6"/>
      </w:pPr>
      <w:bookmarkStart w:id="1" w:name="n3"/>
      <w:bookmarkEnd w:id="1"/>
      <w:r>
        <w:rPr>
          <w:rStyle w:val="rvts23"/>
        </w:rPr>
        <w:t>Про реалізацію експериментального проекту щодо проведення електронних аукціонів з продажу необробленої деревини</w:t>
      </w:r>
    </w:p>
    <w:p w:rsidR="00000000" w:rsidRDefault="0057521F">
      <w:pPr>
        <w:pStyle w:val="a5"/>
        <w:rPr>
          <w:i/>
          <w:iCs/>
        </w:rPr>
      </w:pPr>
      <w:bookmarkStart w:id="2" w:name="n176"/>
      <w:bookmarkEnd w:id="2"/>
      <w:r>
        <w:rPr>
          <w:i/>
          <w:iCs/>
        </w:rPr>
        <w:t>{Із змінами, внесеними згідно з Пост</w:t>
      </w:r>
      <w:r>
        <w:rPr>
          <w:i/>
          <w:iCs/>
        </w:rPr>
        <w:t xml:space="preserve">ановою КМ </w:t>
      </w:r>
      <w:r>
        <w:rPr>
          <w:i/>
          <w:iCs/>
        </w:rPr>
        <w:br/>
      </w:r>
      <w:hyperlink r:id="rId5" w:anchor="n557" w:tgtFrame="_blank" w:history="1">
        <w:r>
          <w:rPr>
            <w:rStyle w:val="a3"/>
            <w:color w:val="000099"/>
            <w:u w:val="none"/>
          </w:rPr>
          <w:t>№ 826 від 09.09.2020</w:t>
        </w:r>
      </w:hyperlink>
      <w:r>
        <w:rPr>
          <w:i/>
          <w:iCs/>
        </w:rPr>
        <w:t>}</w:t>
      </w:r>
    </w:p>
    <w:p w:rsidR="00000000" w:rsidRDefault="0057521F">
      <w:pPr>
        <w:pStyle w:val="rvps2"/>
      </w:pPr>
      <w:bookmarkStart w:id="3" w:name="n4"/>
      <w:bookmarkEnd w:id="3"/>
      <w:r>
        <w:t xml:space="preserve">Кабінет Міністрів України </w:t>
      </w:r>
      <w:r>
        <w:rPr>
          <w:rStyle w:val="rvts52"/>
        </w:rPr>
        <w:t>постановляє:</w:t>
      </w:r>
    </w:p>
    <w:p w:rsidR="00000000" w:rsidRDefault="0057521F">
      <w:pPr>
        <w:pStyle w:val="rvps2"/>
      </w:pPr>
      <w:bookmarkStart w:id="4" w:name="n5"/>
      <w:bookmarkEnd w:id="4"/>
      <w:r>
        <w:t>1. Погодитися з пропозицією Міністерства захисту довкілля та природних ресурсів стосовно реалі</w:t>
      </w:r>
      <w:r>
        <w:t>зації з 1 лютого 2020 р. по 1 квітня 2021 р. експериментального проекту щодо проведення електронних аукціонів з продажу необробленої деревини (далі - експериментальний проект).</w:t>
      </w:r>
    </w:p>
    <w:p w:rsidR="00000000" w:rsidRDefault="0057521F">
      <w:pPr>
        <w:pStyle w:val="rvps2"/>
        <w:rPr>
          <w:i/>
          <w:iCs/>
        </w:rPr>
      </w:pPr>
      <w:bookmarkStart w:id="5" w:name="n177"/>
      <w:bookmarkEnd w:id="5"/>
      <w:r>
        <w:rPr>
          <w:rStyle w:val="rvts46"/>
        </w:rPr>
        <w:t xml:space="preserve">{Пункт 1 із змінами, внесеними згідно з Постановою КМ </w:t>
      </w:r>
      <w:hyperlink r:id="rId6" w:anchor="n557" w:tgtFrame="_blank" w:history="1">
        <w:r>
          <w:rPr>
            <w:rStyle w:val="a3"/>
            <w:i/>
            <w:iCs/>
            <w:color w:val="000099"/>
            <w:u w:val="none"/>
          </w:rPr>
          <w:t>№ 826 від 09.09.2020</w:t>
        </w:r>
      </w:hyperlink>
      <w:r>
        <w:rPr>
          <w:rStyle w:val="rvts46"/>
        </w:rPr>
        <w:t>}</w:t>
      </w:r>
    </w:p>
    <w:p w:rsidR="00000000" w:rsidRDefault="0057521F">
      <w:pPr>
        <w:pStyle w:val="rvps2"/>
      </w:pPr>
      <w:bookmarkStart w:id="6" w:name="n6"/>
      <w:bookmarkEnd w:id="6"/>
      <w:r>
        <w:t xml:space="preserve">2. Затвердити </w:t>
      </w:r>
      <w:hyperlink w:anchor="n24" w:history="1">
        <w:r>
          <w:rPr>
            <w:rStyle w:val="a3"/>
            <w:color w:val="006600"/>
            <w:u w:val="none"/>
          </w:rPr>
          <w:t>Порядок реалізації експериментального проекту щодо проведення електронних аукціонів з продажу окремих партій необробленої деревин</w:t>
        </w:r>
        <w:r>
          <w:rPr>
            <w:rStyle w:val="a3"/>
            <w:color w:val="006600"/>
            <w:u w:val="none"/>
          </w:rPr>
          <w:t>и</w:t>
        </w:r>
      </w:hyperlink>
      <w:r>
        <w:t>, що додається.</w:t>
      </w:r>
    </w:p>
    <w:p w:rsidR="00000000" w:rsidRDefault="0057521F">
      <w:pPr>
        <w:pStyle w:val="rvps2"/>
      </w:pPr>
      <w:bookmarkStart w:id="7" w:name="n7"/>
      <w:bookmarkEnd w:id="7"/>
      <w:r>
        <w:t>3. Визначити, що:</w:t>
      </w:r>
    </w:p>
    <w:p w:rsidR="00000000" w:rsidRDefault="0057521F">
      <w:pPr>
        <w:pStyle w:val="rvps2"/>
      </w:pPr>
      <w:bookmarkStart w:id="8" w:name="n8"/>
      <w:bookmarkEnd w:id="8"/>
      <w:r>
        <w:t xml:space="preserve">1) на час реалізації експериментального проекту державне підприємство “Прозорро.Продажі”, що належить до сфери управління Міністерства розвитку економіки, торгівлі та сільського господарства, є </w:t>
      </w:r>
      <w:r>
        <w:t>відповідальним за забезпечення функціонування електронної торгової системи - адміністратором електронної торгової системи;</w:t>
      </w:r>
    </w:p>
    <w:p w:rsidR="00000000" w:rsidRDefault="0057521F">
      <w:pPr>
        <w:pStyle w:val="rvps2"/>
      </w:pPr>
      <w:bookmarkStart w:id="9" w:name="n9"/>
      <w:bookmarkEnd w:id="9"/>
      <w:r>
        <w:t xml:space="preserve">2) дія експериментального проекту поширюється на постійних лісокористувачів, чистий дохід яких за результатами 2018 року становив не </w:t>
      </w:r>
      <w:r>
        <w:t>менше 10 млн. гривень включно;</w:t>
      </w:r>
    </w:p>
    <w:p w:rsidR="00000000" w:rsidRDefault="0057521F">
      <w:pPr>
        <w:pStyle w:val="rvps2"/>
      </w:pPr>
      <w:bookmarkStart w:id="10" w:name="n10"/>
      <w:bookmarkEnd w:id="10"/>
      <w:r>
        <w:t xml:space="preserve">3) учасники експериментального проекту відповідно до Порядку, затвердженого цією постановою, виставляють на електронні аукціони з продажу окремих партій необробленої деревини не менше ніж 25 відсотків щомісячних запланованих </w:t>
      </w:r>
      <w:r>
        <w:t>обсягів заготівлі необробленої деревини лотами, сформованими із деревини одного сортименту, в обсязі не менше ніж 150 куб. метрів або за стартовою ціною лота не менше ніж 200 тис. гривень.</w:t>
      </w:r>
    </w:p>
    <w:p w:rsidR="00000000" w:rsidRDefault="0057521F">
      <w:pPr>
        <w:pStyle w:val="rvps2"/>
      </w:pPr>
      <w:bookmarkStart w:id="11" w:name="n11"/>
      <w:bookmarkEnd w:id="11"/>
      <w:r>
        <w:t>4. Установити, що:</w:t>
      </w:r>
    </w:p>
    <w:p w:rsidR="00000000" w:rsidRDefault="0057521F">
      <w:pPr>
        <w:pStyle w:val="rvps2"/>
      </w:pPr>
      <w:bookmarkStart w:id="12" w:name="n12"/>
      <w:bookmarkEnd w:id="12"/>
      <w:r>
        <w:t>1) необроблена деревина, яка реалізується постій</w:t>
      </w:r>
      <w:r>
        <w:t xml:space="preserve">ними лісокористувачами, які не відповідають умові, визначеній у підпункті 2 пункту 3 цієї постанови, або лотами, сформованими із деревини одного сортименту, в обсязі менше ніж 150 куб. метрів або за </w:t>
      </w:r>
      <w:r>
        <w:lastRenderedPageBreak/>
        <w:t>стартовою ціною лота менше ніж 200 тис. гривень, виставля</w:t>
      </w:r>
      <w:r>
        <w:t>ється на інші електронні аукціони;</w:t>
      </w:r>
    </w:p>
    <w:p w:rsidR="00000000" w:rsidRDefault="0057521F">
      <w:pPr>
        <w:pStyle w:val="rvps2"/>
      </w:pPr>
      <w:bookmarkStart w:id="13" w:name="n13"/>
      <w:bookmarkEnd w:id="13"/>
      <w:r>
        <w:t>2) дія експериментального проекту не поширюється на реалізацію необробленої деревини:</w:t>
      </w:r>
    </w:p>
    <w:p w:rsidR="00000000" w:rsidRDefault="0057521F">
      <w:pPr>
        <w:pStyle w:val="rvps2"/>
      </w:pPr>
      <w:bookmarkStart w:id="14" w:name="n14"/>
      <w:bookmarkEnd w:id="14"/>
      <w:r>
        <w:t>для задоволення потреб національної безпеки та оборони, подолання наслідків надзвичайних ситуацій, стихійних лих;</w:t>
      </w:r>
    </w:p>
    <w:p w:rsidR="00000000" w:rsidRDefault="0057521F">
      <w:pPr>
        <w:pStyle w:val="rvps2"/>
      </w:pPr>
      <w:bookmarkStart w:id="15" w:name="n15"/>
      <w:bookmarkEnd w:id="15"/>
      <w:r>
        <w:t xml:space="preserve">відповідно до </w:t>
      </w:r>
      <w:hyperlink r:id="rId7" w:tgtFrame="_blank" w:history="1">
        <w:r>
          <w:rPr>
            <w:rStyle w:val="a3"/>
            <w:color w:val="000099"/>
            <w:u w:val="none"/>
          </w:rPr>
          <w:t>Закону України</w:t>
        </w:r>
      </w:hyperlink>
      <w:r>
        <w:t xml:space="preserve"> “Про публічні закупівлі”;</w:t>
      </w:r>
    </w:p>
    <w:p w:rsidR="00000000" w:rsidRDefault="0057521F">
      <w:pPr>
        <w:pStyle w:val="rvps2"/>
      </w:pPr>
      <w:bookmarkStart w:id="16" w:name="n16"/>
      <w:bookmarkEnd w:id="16"/>
      <w:r>
        <w:t>для задоволення потреб бюджетних установ та населення на опалення;</w:t>
      </w:r>
    </w:p>
    <w:p w:rsidR="00000000" w:rsidRDefault="0057521F">
      <w:pPr>
        <w:pStyle w:val="rvps2"/>
      </w:pPr>
      <w:bookmarkStart w:id="17" w:name="n17"/>
      <w:bookmarkEnd w:id="17"/>
      <w:r>
        <w:t>використання якої передбачено колективними договорами постійних лісокористува</w:t>
      </w:r>
      <w:r>
        <w:t>чів;</w:t>
      </w:r>
    </w:p>
    <w:p w:rsidR="00000000" w:rsidRDefault="0057521F">
      <w:pPr>
        <w:pStyle w:val="rvps2"/>
      </w:pPr>
      <w:bookmarkStart w:id="18" w:name="n18"/>
      <w:bookmarkEnd w:id="18"/>
      <w:r>
        <w:t>для потреб індивідуального будівництва і ремонту будівель (для фізичних осіб).</w:t>
      </w:r>
    </w:p>
    <w:p w:rsidR="00000000" w:rsidRDefault="0057521F">
      <w:pPr>
        <w:pStyle w:val="rvps2"/>
      </w:pPr>
      <w:bookmarkStart w:id="19" w:name="n19"/>
      <w:bookmarkEnd w:id="19"/>
      <w:r>
        <w:t xml:space="preserve">5. Міністерству захисту довкілля та природних ресурсів до 15 лютого 2021 р. поінформувати Кабінет Міністрів України про результати реалізації експериментального проекту та </w:t>
      </w:r>
      <w:r>
        <w:t>подати пропозиції щодо доцільності застосування процедури проведення електронних аукціонів з продажу окремих партій необробленої деревини на постійній основі.</w:t>
      </w:r>
    </w:p>
    <w:p w:rsidR="00000000" w:rsidRDefault="0057521F">
      <w:pPr>
        <w:pStyle w:val="rvps2"/>
        <w:rPr>
          <w:i/>
          <w:iCs/>
        </w:rPr>
      </w:pPr>
      <w:bookmarkStart w:id="20" w:name="n178"/>
      <w:bookmarkEnd w:id="20"/>
      <w:r>
        <w:rPr>
          <w:rStyle w:val="rvts46"/>
        </w:rPr>
        <w:t xml:space="preserve">{Пункт 5 із змінами, внесеними згідно з Постановою КМ </w:t>
      </w:r>
      <w:hyperlink r:id="rId8" w:anchor="n557" w:tgtFrame="_blank" w:history="1">
        <w:r>
          <w:rPr>
            <w:rStyle w:val="a3"/>
            <w:i/>
            <w:iCs/>
            <w:color w:val="000099"/>
            <w:u w:val="none"/>
          </w:rPr>
          <w:t>№ 826 від 09.09.2020</w:t>
        </w:r>
      </w:hyperlink>
      <w:r>
        <w:rPr>
          <w:rStyle w:val="rvts46"/>
        </w:rPr>
        <w:t>}</w:t>
      </w:r>
    </w:p>
    <w:tbl>
      <w:tblPr>
        <w:tblW w:w="5000" w:type="pct"/>
        <w:tblCellMar>
          <w:left w:w="0" w:type="dxa"/>
          <w:right w:w="0" w:type="dxa"/>
        </w:tblCellMar>
        <w:tblLook w:val="04A0" w:firstRow="1" w:lastRow="0" w:firstColumn="1" w:lastColumn="0" w:noHBand="0" w:noVBand="1"/>
      </w:tblPr>
      <w:tblGrid>
        <w:gridCol w:w="2806"/>
        <w:gridCol w:w="6549"/>
      </w:tblGrid>
      <w:tr w:rsidR="00000000">
        <w:trPr>
          <w:divId w:val="1299842425"/>
        </w:trPr>
        <w:tc>
          <w:tcPr>
            <w:tcW w:w="1500" w:type="pct"/>
            <w:hideMark/>
          </w:tcPr>
          <w:p w:rsidR="00000000" w:rsidRDefault="0057521F">
            <w:pPr>
              <w:pStyle w:val="rvps4"/>
            </w:pPr>
            <w:bookmarkStart w:id="21" w:name="n20"/>
            <w:bookmarkEnd w:id="21"/>
            <w:r>
              <w:rPr>
                <w:rStyle w:val="rvts44"/>
              </w:rPr>
              <w:t>Прем'єр-міністр України</w:t>
            </w:r>
          </w:p>
        </w:tc>
        <w:tc>
          <w:tcPr>
            <w:tcW w:w="3500" w:type="pct"/>
            <w:hideMark/>
          </w:tcPr>
          <w:p w:rsidR="00000000" w:rsidRDefault="0057521F">
            <w:pPr>
              <w:pStyle w:val="rvps15"/>
            </w:pPr>
            <w:r>
              <w:rPr>
                <w:rStyle w:val="rvts44"/>
              </w:rPr>
              <w:t>О.ГОНЧАРУК</w:t>
            </w:r>
          </w:p>
        </w:tc>
      </w:tr>
      <w:tr w:rsidR="00000000">
        <w:trPr>
          <w:divId w:val="1299842425"/>
        </w:trPr>
        <w:tc>
          <w:tcPr>
            <w:tcW w:w="0" w:type="auto"/>
            <w:hideMark/>
          </w:tcPr>
          <w:p w:rsidR="00000000" w:rsidRDefault="0057521F">
            <w:pPr>
              <w:pStyle w:val="rvps4"/>
            </w:pPr>
            <w:r>
              <w:rPr>
                <w:rStyle w:val="rvts44"/>
              </w:rPr>
              <w:t>Інд. 75</w:t>
            </w:r>
          </w:p>
        </w:tc>
        <w:tc>
          <w:tcPr>
            <w:tcW w:w="0" w:type="auto"/>
            <w:hideMark/>
          </w:tcPr>
          <w:p w:rsidR="00000000" w:rsidRDefault="0057521F"/>
        </w:tc>
      </w:tr>
    </w:tbl>
    <w:p w:rsidR="00000000" w:rsidRDefault="0057521F">
      <w:pPr>
        <w:jc w:val="center"/>
        <w:rPr>
          <w:rStyle w:val="rvts0"/>
        </w:rPr>
      </w:pPr>
      <w:bookmarkStart w:id="22" w:name="n175"/>
      <w:bookmarkEnd w:id="22"/>
      <w:r>
        <w:rPr>
          <w:rStyle w:val="rvts0"/>
          <w:rFonts w:eastAsia="Times New Roman"/>
        </w:rPr>
        <w:pict>
          <v:rect id="_x0000_i1025" style="width:467.7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2"/>
        <w:gridCol w:w="5613"/>
      </w:tblGrid>
      <w:tr w:rsidR="00000000">
        <w:trPr>
          <w:divId w:val="1151756343"/>
        </w:trPr>
        <w:tc>
          <w:tcPr>
            <w:tcW w:w="2000" w:type="pct"/>
            <w:hideMark/>
          </w:tcPr>
          <w:p w:rsidR="00000000" w:rsidRDefault="0057521F">
            <w:pPr>
              <w:jc w:val="center"/>
              <w:rPr>
                <w:rStyle w:val="rvts0"/>
                <w:rFonts w:eastAsia="Times New Roman"/>
              </w:rPr>
            </w:pPr>
            <w:bookmarkStart w:id="23" w:name="n23"/>
            <w:bookmarkEnd w:id="23"/>
          </w:p>
        </w:tc>
        <w:tc>
          <w:tcPr>
            <w:tcW w:w="3000" w:type="pct"/>
            <w:hideMark/>
          </w:tcPr>
          <w:p w:rsidR="00000000" w:rsidRDefault="0057521F">
            <w:pPr>
              <w:pStyle w:val="rvps12"/>
            </w:pPr>
            <w:r>
              <w:rPr>
                <w:rStyle w:val="rvts9"/>
              </w:rPr>
              <w:t xml:space="preserve">ЗАТВЕРДЖЕНО </w:t>
            </w:r>
            <w:r>
              <w:br/>
            </w:r>
            <w:r>
              <w:rPr>
                <w:rStyle w:val="rvts9"/>
              </w:rPr>
              <w:t>постановою Кабінету Мініст</w:t>
            </w:r>
            <w:r>
              <w:rPr>
                <w:rStyle w:val="rvts9"/>
              </w:rPr>
              <w:t xml:space="preserve">рів України </w:t>
            </w:r>
            <w:r>
              <w:br/>
            </w:r>
            <w:r>
              <w:rPr>
                <w:rStyle w:val="rvts9"/>
              </w:rPr>
              <w:t>від 4 грудня 2019 р. № 1178</w:t>
            </w:r>
          </w:p>
        </w:tc>
      </w:tr>
    </w:tbl>
    <w:p w:rsidR="00000000" w:rsidRDefault="0057521F">
      <w:pPr>
        <w:pStyle w:val="rvps6"/>
      </w:pPr>
      <w:bookmarkStart w:id="24" w:name="n24"/>
      <w:bookmarkEnd w:id="24"/>
      <w:r>
        <w:rPr>
          <w:rStyle w:val="rvts23"/>
        </w:rPr>
        <w:t xml:space="preserve">ПОРЯДОК </w:t>
      </w:r>
      <w:r>
        <w:br/>
      </w:r>
      <w:r>
        <w:rPr>
          <w:rStyle w:val="rvts23"/>
        </w:rPr>
        <w:t>реалізації експериментального проекту щодо проведення електронних аукціонів з продажу окремих партій необробленої деревини</w:t>
      </w:r>
    </w:p>
    <w:p w:rsidR="00000000" w:rsidRDefault="0057521F">
      <w:pPr>
        <w:pStyle w:val="rvps2"/>
      </w:pPr>
      <w:bookmarkStart w:id="25" w:name="n25"/>
      <w:bookmarkEnd w:id="25"/>
      <w:r>
        <w:t>1. Цей Порядок визначає механізм реалізації експериментального проекту щодо провед</w:t>
      </w:r>
      <w:r>
        <w:t>ення електронних аукціонів з продажу підприємствами - постійними лісокористувачами окремих партій необробленої деревини в електронній торговій системі Prozorro.Продажі.</w:t>
      </w:r>
    </w:p>
    <w:p w:rsidR="00000000" w:rsidRDefault="0057521F">
      <w:pPr>
        <w:pStyle w:val="rvps2"/>
      </w:pPr>
      <w:bookmarkStart w:id="26" w:name="n26"/>
      <w:bookmarkEnd w:id="26"/>
      <w:r>
        <w:t xml:space="preserve">2. Терміни, що вживаються у цьому Порядку, мають таке значення: </w:t>
      </w:r>
    </w:p>
    <w:p w:rsidR="00000000" w:rsidRDefault="0057521F">
      <w:pPr>
        <w:pStyle w:val="rvps2"/>
      </w:pPr>
      <w:bookmarkStart w:id="27" w:name="n27"/>
      <w:bookmarkEnd w:id="27"/>
      <w:r>
        <w:t>адміністратор електронної торгової системи (далі - адміністратор) - юридична особа, визначена Кабінетом Міністрів України відповідальною за забезпечення функціонування електронної торгової системи. Забороняється поєднання функцій адміністратора та оператор</w:t>
      </w:r>
      <w:r>
        <w:t>а електронного майданчика;</w:t>
      </w:r>
    </w:p>
    <w:p w:rsidR="00000000" w:rsidRDefault="0057521F">
      <w:pPr>
        <w:pStyle w:val="rvps2"/>
      </w:pPr>
      <w:bookmarkStart w:id="28" w:name="n28"/>
      <w:bookmarkEnd w:id="28"/>
      <w:r>
        <w:lastRenderedPageBreak/>
        <w:t>гарантійний внесок - форма гарантії у вигляді грошового забезпечення, що вноситься особою, яка має намір взяти участь в аукціоні для набуття статусу учасника аукціону, шляхом перерахування коштів на рахунок оператора електронного</w:t>
      </w:r>
      <w:r>
        <w:t xml:space="preserve"> майданчика;</w:t>
      </w:r>
    </w:p>
    <w:p w:rsidR="00000000" w:rsidRDefault="0057521F">
      <w:pPr>
        <w:pStyle w:val="rvps2"/>
      </w:pPr>
      <w:bookmarkStart w:id="29" w:name="n29"/>
      <w:bookmarkEnd w:id="29"/>
      <w:r>
        <w:t>електронний майданчик - апаратно-програмний комплекс, який функціонує в Інтернеті, підключений до електронної торгової системи та дає можливість оператору електронного майданчика, організатору та учасникам аукціону користуватися сервісами тако</w:t>
      </w:r>
      <w:r>
        <w:t>ї системи з автоматичним обміном інформацією про процес проведення аукціонів;</w:t>
      </w:r>
    </w:p>
    <w:p w:rsidR="00000000" w:rsidRDefault="0057521F">
      <w:pPr>
        <w:pStyle w:val="rvps2"/>
      </w:pPr>
      <w:bookmarkStart w:id="30" w:name="n30"/>
      <w:bookmarkEnd w:id="30"/>
      <w:r>
        <w:t>електронний аукціон (далі - аукціон) - спосіб продажу окремих партій необробленої деревини, за яким переможцем визначається учасник аукціону, що в ході торгів запропонував найвищ</w:t>
      </w:r>
      <w:r>
        <w:t>у ціну;</w:t>
      </w:r>
    </w:p>
    <w:p w:rsidR="00000000" w:rsidRDefault="0057521F">
      <w:pPr>
        <w:pStyle w:val="rvps2"/>
      </w:pPr>
      <w:bookmarkStart w:id="31" w:name="n31"/>
      <w:bookmarkEnd w:id="31"/>
      <w:r>
        <w:t>електронна торгова система - дворівнева 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w:t>
      </w:r>
      <w:r>
        <w:t>ступом та визначає функціональність електронної торгової системи. Електронна торгова система дає можливість створення, розміщення, оприлюднення та обміну в електронному вигляді інформацією і документами, необхідними для проведення аукціону;</w:t>
      </w:r>
    </w:p>
    <w:p w:rsidR="00000000" w:rsidRDefault="0057521F">
      <w:pPr>
        <w:pStyle w:val="rvps2"/>
      </w:pPr>
      <w:bookmarkStart w:id="32" w:name="n32"/>
      <w:bookmarkEnd w:id="32"/>
      <w:r>
        <w:t xml:space="preserve">закрита цінова </w:t>
      </w:r>
      <w:r>
        <w:t>пропозиція - сума коштів, не менша за стартову ціну лота, сплата якої за лот декларується учасником аукціону до його проведення та подається в особистому кабінеті через оператора електронного майданчика в електронній торговій системі до закінчення кінцевог</w:t>
      </w:r>
      <w:r>
        <w:t>о строку прийняття заяв на участь в аукціоні. Закриті цінові пропозиції учасників аукціону розкриваються після його початку без зазначення інформації про учасників;</w:t>
      </w:r>
    </w:p>
    <w:p w:rsidR="00000000" w:rsidRDefault="0057521F">
      <w:pPr>
        <w:pStyle w:val="rvps2"/>
      </w:pPr>
      <w:bookmarkStart w:id="33" w:name="n33"/>
      <w:bookmarkEnd w:id="33"/>
      <w:r>
        <w:t>крок аукціону - мінімальна сума в розмірі 1 відсотка стартової ціни лота, на яку в ході про</w:t>
      </w:r>
      <w:r>
        <w:t>ведення аукціону може здійснюватися мінімальне підвищення цінової пропозиції;</w:t>
      </w:r>
    </w:p>
    <w:p w:rsidR="00000000" w:rsidRDefault="0057521F">
      <w:pPr>
        <w:pStyle w:val="rvps2"/>
      </w:pPr>
      <w:bookmarkStart w:id="34" w:name="n34"/>
      <w:bookmarkEnd w:id="34"/>
      <w:r>
        <w:t>лот - партія необробленої деревини, що пропонується для продажу на аукціоні в розрізі сортиментів та класів якості відповідно до національних стандартів;</w:t>
      </w:r>
    </w:p>
    <w:p w:rsidR="00000000" w:rsidRDefault="0057521F">
      <w:pPr>
        <w:pStyle w:val="rvps2"/>
      </w:pPr>
      <w:bookmarkStart w:id="35" w:name="n35"/>
      <w:bookmarkEnd w:id="35"/>
      <w:r>
        <w:t>оператор електронного ма</w:t>
      </w:r>
      <w:r>
        <w:t>йданчика (далі - оператор) - юридична особа, яка має право використовувати електронний майданчик та авторизована (попередньо авторизована) в електронній торговій системі;</w:t>
      </w:r>
    </w:p>
    <w:p w:rsidR="00000000" w:rsidRDefault="0057521F">
      <w:pPr>
        <w:pStyle w:val="rvps2"/>
      </w:pPr>
      <w:bookmarkStart w:id="36" w:name="n36"/>
      <w:bookmarkEnd w:id="36"/>
      <w:r>
        <w:t>організатор аукціону - юридична особа, постійний лісокористувач, який здійснює заготі</w:t>
      </w:r>
      <w:r>
        <w:t>влю деревини на території України в порядку, встановленому законодавством;</w:t>
      </w:r>
    </w:p>
    <w:p w:rsidR="00000000" w:rsidRDefault="0057521F">
      <w:pPr>
        <w:pStyle w:val="rvps2"/>
      </w:pPr>
      <w:bookmarkStart w:id="37" w:name="n37"/>
      <w:bookmarkEnd w:id="37"/>
      <w:r>
        <w:t>особистий кабінет - частина електронної торгової системи, доступ до якої за допомогою особистих ідентифікаторів (логіна та пароля) має учасник або організатор аукціону для розміщенн</w:t>
      </w:r>
      <w:r>
        <w:t>я оголошень про проведення аукціону, повідомлень про результати його проведення та іншої інформації про аукціони;</w:t>
      </w:r>
    </w:p>
    <w:p w:rsidR="00000000" w:rsidRDefault="0057521F">
      <w:pPr>
        <w:pStyle w:val="rvps2"/>
      </w:pPr>
      <w:bookmarkStart w:id="38" w:name="n38"/>
      <w:bookmarkEnd w:id="38"/>
      <w:r>
        <w:t>переможець аукціону - учасник аукціону, який запропонував найвищу цінову пропозицію за результатами його проведення;</w:t>
      </w:r>
    </w:p>
    <w:p w:rsidR="00000000" w:rsidRDefault="0057521F">
      <w:pPr>
        <w:pStyle w:val="rvps2"/>
      </w:pPr>
      <w:bookmarkStart w:id="39" w:name="n39"/>
      <w:bookmarkEnd w:id="39"/>
      <w:r>
        <w:t>раунд - період часу, прот</w:t>
      </w:r>
      <w:r>
        <w:t>ягом якого учасники аукціону можуть подати свої цінові пропозиції;</w:t>
      </w:r>
    </w:p>
    <w:p w:rsidR="00000000" w:rsidRDefault="0057521F">
      <w:pPr>
        <w:pStyle w:val="rvps2"/>
      </w:pPr>
      <w:bookmarkStart w:id="40" w:name="n40"/>
      <w:bookmarkEnd w:id="40"/>
      <w:r>
        <w:t>реєстраційний внесок - плата за подання заяви на участь в аукціоні після реєстрації в електронній торговій системі особи, яка має намір взяти участь в аукціоні, для отримання статусу учасни</w:t>
      </w:r>
      <w:r>
        <w:t>ка аукціону;</w:t>
      </w:r>
    </w:p>
    <w:p w:rsidR="00000000" w:rsidRDefault="0057521F">
      <w:pPr>
        <w:pStyle w:val="rvps2"/>
      </w:pPr>
      <w:bookmarkStart w:id="41" w:name="n41"/>
      <w:bookmarkEnd w:id="41"/>
      <w:r>
        <w:t xml:space="preserve">стартова ціна лота - ціна лота на момент початку аукціону, яка встановлюється його організатором на базі собівартості лота та зазначається в оголошенні про проведення </w:t>
      </w:r>
      <w:r>
        <w:lastRenderedPageBreak/>
        <w:t>відповідного аукціону. У ході реалізації пілотного проекту стартова ціна пар</w:t>
      </w:r>
      <w:r>
        <w:t>тії встановлюється з урахуванням попиту та пропозиції раніше проведених аукціонів;</w:t>
      </w:r>
    </w:p>
    <w:p w:rsidR="00000000" w:rsidRDefault="0057521F">
      <w:pPr>
        <w:pStyle w:val="rvps2"/>
      </w:pPr>
      <w:bookmarkStart w:id="42" w:name="n42"/>
      <w:bookmarkEnd w:id="42"/>
      <w:r>
        <w:t xml:space="preserve">учасник аукціону - фізична особа - підприємець або юридична особа (в тому числі іноземна юридична особа) в особі уповноваженого представника, яка виявила намір взяти участь </w:t>
      </w:r>
      <w:r>
        <w:t>в аукціоні, сплатила реєстраційний та гарантійний внески, пройшла процедуру реєстрації для участі в ньому, отримала відповідне підтвердження про реєстрацію та індивідуальний код учасника аукціону відповідно до цього Порядку;</w:t>
      </w:r>
    </w:p>
    <w:p w:rsidR="00000000" w:rsidRDefault="0057521F">
      <w:pPr>
        <w:pStyle w:val="rvps2"/>
      </w:pPr>
      <w:bookmarkStart w:id="43" w:name="n43"/>
      <w:bookmarkEnd w:id="43"/>
      <w:r>
        <w:t>цінова пропозиція - сума коштів</w:t>
      </w:r>
      <w:r>
        <w:t>, про готовність сплати якої за лот учасник аукціону повідомляє в ході його проведення.</w:t>
      </w:r>
    </w:p>
    <w:p w:rsidR="00000000" w:rsidRDefault="0057521F">
      <w:pPr>
        <w:pStyle w:val="rvps2"/>
      </w:pPr>
      <w:bookmarkStart w:id="44" w:name="n44"/>
      <w:bookmarkEnd w:id="44"/>
      <w:r>
        <w:t>3. Правові відносини, що виникають чи можуть виникнути в процесі проведення аукціонів, порядок проведення аукціонів, особливості роботи електронної торгової системи, пр</w:t>
      </w:r>
      <w:r>
        <w:t>ава та зобов’язання адміністратора, оператора, організатора та учасника аукціону під час його проведення визначаються регламентом електронної торгової системи, який приймається адміністратором.</w:t>
      </w:r>
    </w:p>
    <w:p w:rsidR="00000000" w:rsidRDefault="0057521F">
      <w:pPr>
        <w:pStyle w:val="rvps2"/>
      </w:pPr>
      <w:bookmarkStart w:id="45" w:name="n45"/>
      <w:bookmarkEnd w:id="45"/>
      <w:r>
        <w:t xml:space="preserve">4. Аукціон проводиться відповідно до договору, що укладається </w:t>
      </w:r>
      <w:r>
        <w:t>між організатором аукціону та оператором.</w:t>
      </w:r>
    </w:p>
    <w:p w:rsidR="00000000" w:rsidRDefault="0057521F">
      <w:pPr>
        <w:pStyle w:val="rvps2"/>
      </w:pPr>
      <w:bookmarkStart w:id="46" w:name="n46"/>
      <w:bookmarkEnd w:id="46"/>
      <w:r>
        <w:t>5. Підставою для проведення аукціону є рішення його організатора, в якому зазначається перелік лотів у розрізі сортиментів та класів якості відповідно до національних стандартів, які пропонуються для продажу на аук</w:t>
      </w:r>
      <w:r>
        <w:t>ціоні, а також для кожного лота:</w:t>
      </w:r>
    </w:p>
    <w:p w:rsidR="00000000" w:rsidRDefault="0057521F">
      <w:pPr>
        <w:pStyle w:val="rvps2"/>
      </w:pPr>
      <w:bookmarkStart w:id="47" w:name="n47"/>
      <w:bookmarkEnd w:id="47"/>
      <w:r>
        <w:t>розмір партії деревини;</w:t>
      </w:r>
    </w:p>
    <w:p w:rsidR="00000000" w:rsidRDefault="0057521F">
      <w:pPr>
        <w:pStyle w:val="rvps2"/>
      </w:pPr>
      <w:bookmarkStart w:id="48" w:name="n48"/>
      <w:bookmarkEnd w:id="48"/>
      <w:r>
        <w:t>стартова ціна за кубічний метр деревини з урахуванням базису поставки;</w:t>
      </w:r>
    </w:p>
    <w:p w:rsidR="00000000" w:rsidRDefault="0057521F">
      <w:pPr>
        <w:pStyle w:val="rvps2"/>
      </w:pPr>
      <w:bookmarkStart w:id="49" w:name="n49"/>
      <w:bookmarkEnd w:id="49"/>
      <w:r>
        <w:t>місцезнаходження лота;</w:t>
      </w:r>
    </w:p>
    <w:p w:rsidR="00000000" w:rsidRDefault="0057521F">
      <w:pPr>
        <w:pStyle w:val="rvps2"/>
      </w:pPr>
      <w:bookmarkStart w:id="50" w:name="n50"/>
      <w:bookmarkEnd w:id="50"/>
      <w:r>
        <w:t>дата проведення аукціону;</w:t>
      </w:r>
    </w:p>
    <w:p w:rsidR="00000000" w:rsidRDefault="0057521F">
      <w:pPr>
        <w:pStyle w:val="rvps2"/>
      </w:pPr>
      <w:bookmarkStart w:id="51" w:name="n51"/>
      <w:bookmarkEnd w:id="51"/>
      <w:r>
        <w:t>інші відомості, необхідні для проведення аукціону.</w:t>
      </w:r>
    </w:p>
    <w:p w:rsidR="00000000" w:rsidRDefault="0057521F">
      <w:pPr>
        <w:pStyle w:val="rvps2"/>
      </w:pPr>
      <w:bookmarkStart w:id="52" w:name="n52"/>
      <w:bookmarkEnd w:id="52"/>
      <w:r>
        <w:t>6. На підставі рішення про п</w:t>
      </w:r>
      <w:r>
        <w:t>роведення аукціону його організатор через електронний майданчик оператора, з яким укладено договір, оприлюднює в електронній торговій системі для кожного лота окреме оголошення про проведення аукціону.</w:t>
      </w:r>
    </w:p>
    <w:p w:rsidR="00000000" w:rsidRDefault="0057521F">
      <w:pPr>
        <w:pStyle w:val="rvps2"/>
      </w:pPr>
      <w:bookmarkStart w:id="53" w:name="n53"/>
      <w:bookmarkEnd w:id="53"/>
      <w:r>
        <w:t>7. Оголошення про проведення аукціону оприлюднюється в</w:t>
      </w:r>
      <w:r>
        <w:t xml:space="preserve"> електронній торговій системі не пізніше ніж за 10 робочих днів до дня проведення аукціону та повинне містити інформацію про:</w:t>
      </w:r>
    </w:p>
    <w:p w:rsidR="00000000" w:rsidRDefault="0057521F">
      <w:pPr>
        <w:pStyle w:val="rvps2"/>
      </w:pPr>
      <w:bookmarkStart w:id="54" w:name="n54"/>
      <w:bookmarkEnd w:id="54"/>
      <w:r>
        <w:t>лот у розрізі сортиментів та класів якості відповідно до національних стандартів;</w:t>
      </w:r>
    </w:p>
    <w:p w:rsidR="00000000" w:rsidRDefault="0057521F">
      <w:pPr>
        <w:pStyle w:val="rvps2"/>
      </w:pPr>
      <w:bookmarkStart w:id="55" w:name="n55"/>
      <w:bookmarkEnd w:id="55"/>
      <w:r>
        <w:t>розмір партії деревини;</w:t>
      </w:r>
    </w:p>
    <w:p w:rsidR="00000000" w:rsidRDefault="0057521F">
      <w:pPr>
        <w:pStyle w:val="rvps2"/>
      </w:pPr>
      <w:bookmarkStart w:id="56" w:name="n56"/>
      <w:bookmarkEnd w:id="56"/>
      <w:r>
        <w:t>стартову ціну за кубічний метр деревини;</w:t>
      </w:r>
    </w:p>
    <w:p w:rsidR="00000000" w:rsidRDefault="0057521F">
      <w:pPr>
        <w:pStyle w:val="rvps2"/>
      </w:pPr>
      <w:bookmarkStart w:id="57" w:name="n57"/>
      <w:bookmarkEnd w:id="57"/>
      <w:r>
        <w:t>місцезнаходження лота;</w:t>
      </w:r>
    </w:p>
    <w:p w:rsidR="00000000" w:rsidRDefault="0057521F">
      <w:pPr>
        <w:pStyle w:val="rvps2"/>
      </w:pPr>
      <w:bookmarkStart w:id="58" w:name="n58"/>
      <w:bookmarkEnd w:id="58"/>
      <w:r>
        <w:t>дату та час проведення аукціону;</w:t>
      </w:r>
    </w:p>
    <w:p w:rsidR="00000000" w:rsidRDefault="0057521F">
      <w:pPr>
        <w:pStyle w:val="rvps2"/>
      </w:pPr>
      <w:bookmarkStart w:id="59" w:name="n59"/>
      <w:bookmarkEnd w:id="59"/>
      <w:r>
        <w:t>кінцевий строк прийняття заяв на участь в аукціоні;</w:t>
      </w:r>
    </w:p>
    <w:p w:rsidR="00000000" w:rsidRDefault="0057521F">
      <w:pPr>
        <w:pStyle w:val="rvps2"/>
      </w:pPr>
      <w:bookmarkStart w:id="60" w:name="n60"/>
      <w:bookmarkEnd w:id="60"/>
      <w:r>
        <w:t>розмір кроку аукціону;</w:t>
      </w:r>
    </w:p>
    <w:p w:rsidR="00000000" w:rsidRDefault="0057521F">
      <w:pPr>
        <w:pStyle w:val="rvps2"/>
      </w:pPr>
      <w:bookmarkStart w:id="61" w:name="n61"/>
      <w:bookmarkEnd w:id="61"/>
      <w:r>
        <w:t>розмір реєстраційного та гарантійного внесків, а також роз’яснення щодо процедури їх</w:t>
      </w:r>
      <w:r>
        <w:t xml:space="preserve"> сплати;</w:t>
      </w:r>
    </w:p>
    <w:p w:rsidR="00000000" w:rsidRDefault="0057521F">
      <w:pPr>
        <w:pStyle w:val="rvps2"/>
      </w:pPr>
      <w:bookmarkStart w:id="62" w:name="n62"/>
      <w:bookmarkEnd w:id="62"/>
      <w:r>
        <w:t>розмір винагороди оператора;</w:t>
      </w:r>
    </w:p>
    <w:p w:rsidR="00000000" w:rsidRDefault="0057521F">
      <w:pPr>
        <w:pStyle w:val="rvps2"/>
      </w:pPr>
      <w:bookmarkStart w:id="63" w:name="n63"/>
      <w:bookmarkEnd w:id="63"/>
      <w:r>
        <w:lastRenderedPageBreak/>
        <w:t>текст договору, який пропонується укласти за результатами проведення аукціону, без визначення ціни та особи покупця;</w:t>
      </w:r>
    </w:p>
    <w:p w:rsidR="00000000" w:rsidRDefault="0057521F">
      <w:pPr>
        <w:pStyle w:val="rvps2"/>
      </w:pPr>
      <w:bookmarkStart w:id="64" w:name="n64"/>
      <w:bookmarkEnd w:id="64"/>
      <w:r>
        <w:t xml:space="preserve">перелік документів, які додаються до заяви на участь в аукціоні, визначених у </w:t>
      </w:r>
      <w:hyperlink w:anchor="n69" w:history="1">
        <w:r>
          <w:rPr>
            <w:rStyle w:val="a3"/>
            <w:color w:val="006600"/>
            <w:u w:val="none"/>
          </w:rPr>
          <w:t>пункті 9</w:t>
        </w:r>
      </w:hyperlink>
      <w:r>
        <w:t xml:space="preserve"> цього Порядку;</w:t>
      </w:r>
    </w:p>
    <w:p w:rsidR="00000000" w:rsidRDefault="0057521F">
      <w:pPr>
        <w:pStyle w:val="rvps2"/>
      </w:pPr>
      <w:bookmarkStart w:id="65" w:name="n65"/>
      <w:bookmarkEnd w:id="65"/>
      <w:r>
        <w:t>найменування, контактні дані та реквізити організатора аукціону для проведення покупцем розрахунків за лот.</w:t>
      </w:r>
    </w:p>
    <w:p w:rsidR="00000000" w:rsidRDefault="0057521F">
      <w:pPr>
        <w:pStyle w:val="rvps2"/>
      </w:pPr>
      <w:bookmarkStart w:id="66" w:name="n66"/>
      <w:bookmarkEnd w:id="66"/>
      <w:r>
        <w:t>До оголошення можуть додаватися зображення, документи та матеріали на лот, якщо вони були додані організатором до відпові</w:t>
      </w:r>
      <w:r>
        <w:t>дного рішення про проведення аукціону.</w:t>
      </w:r>
    </w:p>
    <w:p w:rsidR="00000000" w:rsidRDefault="0057521F">
      <w:pPr>
        <w:pStyle w:val="rvps2"/>
      </w:pPr>
      <w:bookmarkStart w:id="67" w:name="n67"/>
      <w:bookmarkEnd w:id="67"/>
      <w:r>
        <w:t>8. Оголошення про проведення аукціону розміщується в електронній торговій системі державною мовою, крім випадків, коли використання букв української абетки призводить до спотворення розміщуваної інформації (зокрема пі</w:t>
      </w:r>
      <w:r>
        <w:t>д час написання адреси вебсайту, зазначення реєстраційних номерів).</w:t>
      </w:r>
    </w:p>
    <w:p w:rsidR="00000000" w:rsidRDefault="0057521F">
      <w:pPr>
        <w:pStyle w:val="rvps2"/>
      </w:pPr>
      <w:bookmarkStart w:id="68" w:name="n68"/>
      <w:bookmarkEnd w:id="68"/>
      <w:r>
        <w:t>Розміщення оголошення про проведення аукціону в електронній торговій системі здійснюється безоплатно. Технологічні та програмні засоби, необхідні для оприлюднення оголошення, повинні цілод</w:t>
      </w:r>
      <w:r>
        <w:t>обово без обмежень давати всім бажаючим можливість безоплатного анонімного перегляду, копіювання та роздрукування інформації із застосуванням поширених вебоглядачів та редакторів без необхідності застосування спеціально створених технологічних чи програмни</w:t>
      </w:r>
      <w:r>
        <w:t>х засобів.</w:t>
      </w:r>
    </w:p>
    <w:p w:rsidR="00000000" w:rsidRDefault="0057521F">
      <w:pPr>
        <w:pStyle w:val="rvps2"/>
      </w:pPr>
      <w:bookmarkStart w:id="69" w:name="n69"/>
      <w:bookmarkEnd w:id="69"/>
      <w:r>
        <w:t xml:space="preserve">9. Після оприлюднення оголошення про проведення аукціону та в межах визначеного в ньому строку для отримання статусу учасника аукціону особи, які мають намір взяти участь в аукціоні, реєструються в електронній торговій системі та подають з цією </w:t>
      </w:r>
      <w:r>
        <w:t>метою таку інформацію:</w:t>
      </w:r>
    </w:p>
    <w:p w:rsidR="00000000" w:rsidRDefault="0057521F">
      <w:pPr>
        <w:pStyle w:val="rvps2"/>
      </w:pPr>
      <w:bookmarkStart w:id="70" w:name="n70"/>
      <w:bookmarkEnd w:id="70"/>
      <w:r>
        <w:t>1) фізична особа - підприємець:</w:t>
      </w:r>
    </w:p>
    <w:p w:rsidR="00000000" w:rsidRDefault="0057521F">
      <w:pPr>
        <w:pStyle w:val="rvps2"/>
      </w:pPr>
      <w:bookmarkStart w:id="71" w:name="n71"/>
      <w:bookmarkEnd w:id="71"/>
      <w: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w:t>
      </w:r>
      <w:r>
        <w:t>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000000" w:rsidRDefault="0057521F">
      <w:pPr>
        <w:pStyle w:val="rvps2"/>
      </w:pPr>
      <w:bookmarkStart w:id="72" w:name="n72"/>
      <w:bookmarkEnd w:id="72"/>
      <w:r>
        <w:t xml:space="preserve">адреси електронної пошти для надіслання повідомлень системи електронних торгів оператора та організатора </w:t>
      </w:r>
      <w:r>
        <w:t>аукціону;</w:t>
      </w:r>
    </w:p>
    <w:p w:rsidR="00000000" w:rsidRDefault="0057521F">
      <w:pPr>
        <w:pStyle w:val="rvps2"/>
      </w:pPr>
      <w:bookmarkStart w:id="73" w:name="n73"/>
      <w:bookmarkEnd w:id="73"/>
      <w:r>
        <w:t>контактний номер телефону;</w:t>
      </w:r>
    </w:p>
    <w:p w:rsidR="00000000" w:rsidRDefault="0057521F">
      <w:pPr>
        <w:pStyle w:val="rvps2"/>
      </w:pPr>
      <w:bookmarkStart w:id="74" w:name="n74"/>
      <w:bookmarkEnd w:id="74"/>
      <w:r>
        <w:t>реквізити рахунка заявника, на який повинен бути повернутий гарантійний внесок;</w:t>
      </w:r>
    </w:p>
    <w:p w:rsidR="00000000" w:rsidRDefault="0057521F">
      <w:pPr>
        <w:pStyle w:val="rvps2"/>
      </w:pPr>
      <w:bookmarkStart w:id="75" w:name="n75"/>
      <w:bookmarkEnd w:id="75"/>
      <w:r>
        <w:t>заяву в довільній формі про непоширення на заявника - фізичну особу - підприємця спеціальних економічних та інших обмежувальних заходів (са</w:t>
      </w:r>
      <w:r>
        <w:t xml:space="preserve">нкцій) згідно із </w:t>
      </w:r>
      <w:hyperlink r:id="rId9" w:tgtFrame="_blank" w:history="1">
        <w:r>
          <w:rPr>
            <w:rStyle w:val="a3"/>
            <w:color w:val="000099"/>
            <w:u w:val="none"/>
          </w:rPr>
          <w:t>Законом України</w:t>
        </w:r>
      </w:hyperlink>
      <w:r>
        <w:t xml:space="preserve"> “Про санкції” та актами, прийнятими відповідно до зазначеного Закону;</w:t>
      </w:r>
    </w:p>
    <w:p w:rsidR="00000000" w:rsidRDefault="0057521F">
      <w:pPr>
        <w:pStyle w:val="rvps2"/>
      </w:pPr>
      <w:bookmarkStart w:id="76" w:name="n76"/>
      <w:bookmarkEnd w:id="76"/>
      <w:r>
        <w:t>2) юридична особа:</w:t>
      </w:r>
    </w:p>
    <w:p w:rsidR="00000000" w:rsidRDefault="0057521F">
      <w:pPr>
        <w:pStyle w:val="rvps2"/>
      </w:pPr>
      <w:bookmarkStart w:id="77" w:name="n77"/>
      <w:bookmarkEnd w:id="77"/>
      <w:r>
        <w:t>найменування;</w:t>
      </w:r>
    </w:p>
    <w:p w:rsidR="00000000" w:rsidRDefault="0057521F">
      <w:pPr>
        <w:pStyle w:val="rvps2"/>
      </w:pPr>
      <w:bookmarkStart w:id="78" w:name="n78"/>
      <w:bookmarkEnd w:id="78"/>
      <w:r>
        <w:t>код згідно з ЄДРПОУ;</w:t>
      </w:r>
    </w:p>
    <w:p w:rsidR="00000000" w:rsidRDefault="0057521F">
      <w:pPr>
        <w:pStyle w:val="rvps2"/>
      </w:pPr>
      <w:bookmarkStart w:id="79" w:name="n79"/>
      <w:bookmarkEnd w:id="79"/>
      <w:r>
        <w:t>прізвище, ім’я та по батько</w:t>
      </w:r>
      <w:r>
        <w:t>ві представника юридичної особи, серію та номер документа, що посвідчує його особу;</w:t>
      </w:r>
    </w:p>
    <w:p w:rsidR="00000000" w:rsidRDefault="0057521F">
      <w:pPr>
        <w:pStyle w:val="rvps2"/>
      </w:pPr>
      <w:bookmarkStart w:id="80" w:name="n80"/>
      <w:bookmarkEnd w:id="80"/>
      <w:r>
        <w:t>реквізити документа, що підтверджує повноваження представника юридичної особи;</w:t>
      </w:r>
    </w:p>
    <w:p w:rsidR="00000000" w:rsidRDefault="0057521F">
      <w:pPr>
        <w:pStyle w:val="rvps2"/>
      </w:pPr>
      <w:bookmarkStart w:id="81" w:name="n81"/>
      <w:bookmarkEnd w:id="81"/>
      <w:r>
        <w:t>адреси електронної пошти для надіслання повідомлень системи електронних торгів оператора та о</w:t>
      </w:r>
      <w:r>
        <w:t>рганізатора аукціону;</w:t>
      </w:r>
    </w:p>
    <w:p w:rsidR="00000000" w:rsidRDefault="0057521F">
      <w:pPr>
        <w:pStyle w:val="rvps2"/>
      </w:pPr>
      <w:bookmarkStart w:id="82" w:name="n82"/>
      <w:bookmarkEnd w:id="82"/>
      <w:r>
        <w:lastRenderedPageBreak/>
        <w:t>контактний номер телефону;</w:t>
      </w:r>
    </w:p>
    <w:p w:rsidR="00000000" w:rsidRDefault="0057521F">
      <w:pPr>
        <w:pStyle w:val="rvps2"/>
      </w:pPr>
      <w:bookmarkStart w:id="83" w:name="n83"/>
      <w:bookmarkEnd w:id="83"/>
      <w:r>
        <w:t>реквізити рахунка заявника, на який повинен бути повернуто гарантійний внесок;</w:t>
      </w:r>
    </w:p>
    <w:p w:rsidR="00000000" w:rsidRDefault="0057521F">
      <w:pPr>
        <w:pStyle w:val="rvps2"/>
      </w:pPr>
      <w:bookmarkStart w:id="84" w:name="n84"/>
      <w:bookmarkEnd w:id="84"/>
      <w:r>
        <w:t xml:space="preserve">заяву в довільній формі про непоширення на заявника - юридичну особу або її посадових осіб (керівника, його заступників та </w:t>
      </w:r>
      <w:r>
        <w:t xml:space="preserve">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10" w:tgtFrame="_blank" w:history="1">
        <w:r>
          <w:rPr>
            <w:rStyle w:val="a3"/>
            <w:color w:val="000099"/>
            <w:u w:val="none"/>
          </w:rPr>
          <w:t>Законом України</w:t>
        </w:r>
      </w:hyperlink>
      <w:r>
        <w:t xml:space="preserve"> “Про санкції” та актами</w:t>
      </w:r>
      <w:r>
        <w:t>, прийнятими відповідно до зазначеного Закону;</w:t>
      </w:r>
    </w:p>
    <w:p w:rsidR="00000000" w:rsidRDefault="0057521F">
      <w:pPr>
        <w:pStyle w:val="rvps2"/>
      </w:pPr>
      <w:bookmarkStart w:id="85" w:name="n85"/>
      <w:bookmarkEnd w:id="85"/>
      <w:r>
        <w:t>3) іноземна юридична особа:</w:t>
      </w:r>
    </w:p>
    <w:p w:rsidR="00000000" w:rsidRDefault="0057521F">
      <w:pPr>
        <w:pStyle w:val="rvps2"/>
      </w:pPr>
      <w:bookmarkStart w:id="86" w:name="n86"/>
      <w:bookmarkEnd w:id="86"/>
      <w:r>
        <w:t>найменування іноземної юридичної особи, зареєстрованого представництва іноземної юридичної особи (за наявності);</w:t>
      </w:r>
    </w:p>
    <w:p w:rsidR="00000000" w:rsidRDefault="0057521F">
      <w:pPr>
        <w:pStyle w:val="rvps2"/>
      </w:pPr>
      <w:bookmarkStart w:id="87" w:name="n87"/>
      <w:bookmarkEnd w:id="87"/>
      <w:r>
        <w:t>місцезнаходження юридичної особи;</w:t>
      </w:r>
    </w:p>
    <w:p w:rsidR="00000000" w:rsidRDefault="0057521F">
      <w:pPr>
        <w:pStyle w:val="rvps2"/>
      </w:pPr>
      <w:bookmarkStart w:id="88" w:name="n88"/>
      <w:bookmarkEnd w:id="88"/>
      <w:r>
        <w:t>код зареєстрованого представництва</w:t>
      </w:r>
      <w:r>
        <w:t xml:space="preserve"> іноземної юридичної особи згідно з ЄДРПОУ (за наявності);</w:t>
      </w:r>
    </w:p>
    <w:p w:rsidR="00000000" w:rsidRDefault="0057521F">
      <w:pPr>
        <w:pStyle w:val="rvps2"/>
      </w:pPr>
      <w:bookmarkStart w:id="89" w:name="n89"/>
      <w:bookmarkEnd w:id="89"/>
      <w:r>
        <w:t>прізвище, ім’я та по батькові представника юридичної особи, серію та номер документа, що посвідчує його особу;</w:t>
      </w:r>
    </w:p>
    <w:p w:rsidR="00000000" w:rsidRDefault="0057521F">
      <w:pPr>
        <w:pStyle w:val="rvps2"/>
      </w:pPr>
      <w:bookmarkStart w:id="90" w:name="n90"/>
      <w:bookmarkEnd w:id="90"/>
      <w:r>
        <w:t>заяву в довільній формі про непоширення на заявника - іноземну юридичну особу або її п</w:t>
      </w:r>
      <w:r>
        <w:t xml:space="preserve">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w:t>
      </w:r>
      <w:hyperlink r:id="rId11" w:tgtFrame="_blank" w:history="1">
        <w:r>
          <w:rPr>
            <w:rStyle w:val="a3"/>
            <w:color w:val="000099"/>
            <w:u w:val="none"/>
          </w:rPr>
          <w:t>Законом України</w:t>
        </w:r>
      </w:hyperlink>
      <w:r>
        <w:t xml:space="preserve"> “Про санкції” та актами, прийнятими відповідно до зазначеного Закону;</w:t>
      </w:r>
    </w:p>
    <w:p w:rsidR="00000000" w:rsidRDefault="0057521F">
      <w:pPr>
        <w:pStyle w:val="rvps2"/>
      </w:pPr>
      <w:bookmarkStart w:id="91" w:name="n91"/>
      <w:bookmarkEnd w:id="91"/>
      <w:r>
        <w:t>реквізити документа, що підтверджує повноваження представника юридичної особи;</w:t>
      </w:r>
    </w:p>
    <w:p w:rsidR="00000000" w:rsidRDefault="0057521F">
      <w:pPr>
        <w:pStyle w:val="rvps2"/>
      </w:pPr>
      <w:bookmarkStart w:id="92" w:name="n92"/>
      <w:bookmarkEnd w:id="92"/>
      <w:r>
        <w:t>адреси електронної пошти для надіслання повідомлень системи електронних торгів опера</w:t>
      </w:r>
      <w:r>
        <w:t>тора та організатора аукціону;</w:t>
      </w:r>
    </w:p>
    <w:p w:rsidR="00000000" w:rsidRDefault="0057521F">
      <w:pPr>
        <w:pStyle w:val="rvps2"/>
      </w:pPr>
      <w:bookmarkStart w:id="93" w:name="n93"/>
      <w:bookmarkEnd w:id="93"/>
      <w:r>
        <w:t>контактний номер телефону;</w:t>
      </w:r>
    </w:p>
    <w:p w:rsidR="00000000" w:rsidRDefault="0057521F">
      <w:pPr>
        <w:pStyle w:val="rvps2"/>
      </w:pPr>
      <w:bookmarkStart w:id="94" w:name="n94"/>
      <w:bookmarkEnd w:id="94"/>
      <w:r>
        <w:t>реквізити рахунка заявника, на який повинен бути повернутий гарантійний внесок.</w:t>
      </w:r>
    </w:p>
    <w:p w:rsidR="00000000" w:rsidRDefault="0057521F">
      <w:pPr>
        <w:pStyle w:val="rvps2"/>
      </w:pPr>
      <w:bookmarkStart w:id="95" w:name="n95"/>
      <w:bookmarkEnd w:id="95"/>
      <w:r>
        <w:t>Після реєстрації в електронній торговій системі особи, які мають намір взяти участь в аукціоні, сплачують реєстраційни</w:t>
      </w:r>
      <w:r>
        <w:t>й і гарантійний внески на рахунок обраного ними оператора та подають через електронну торгову систему заяву на участь в аукціоні, яка також містить закриту цінову пропозицію.</w:t>
      </w:r>
    </w:p>
    <w:p w:rsidR="00000000" w:rsidRDefault="0057521F">
      <w:pPr>
        <w:pStyle w:val="rvps2"/>
      </w:pPr>
      <w:bookmarkStart w:id="96" w:name="n96"/>
      <w:bookmarkEnd w:id="96"/>
      <w:r>
        <w:t>Заява на участь в аукціоні подається в електронному вигляді шляхом заповнення еле</w:t>
      </w:r>
      <w:r>
        <w:t>ктронних форм з окремими полями та завантаження необхідних документів і повинна містити інформацію про закриту цінову пропозицію. Закрита цінова пропозиція не може бути нижча стартової ціни лота.</w:t>
      </w:r>
    </w:p>
    <w:p w:rsidR="00000000" w:rsidRDefault="0057521F">
      <w:pPr>
        <w:pStyle w:val="rvps2"/>
      </w:pPr>
      <w:bookmarkStart w:id="97" w:name="n97"/>
      <w:bookmarkEnd w:id="97"/>
      <w:r>
        <w:t>До заяви на участь в аукціоні додаються такі документи:</w:t>
      </w:r>
    </w:p>
    <w:p w:rsidR="00000000" w:rsidRDefault="0057521F">
      <w:pPr>
        <w:pStyle w:val="rvps2"/>
      </w:pPr>
      <w:bookmarkStart w:id="98" w:name="n98"/>
      <w:bookmarkEnd w:id="98"/>
      <w:r>
        <w:t xml:space="preserve">для </w:t>
      </w:r>
      <w:r>
        <w:t>фізичних осіб - підприємців та юридичних осіб резидентів - витяг з Єдиного державного реєстру юридичних осіб, фізичних осіб - підприємців та громадських формувань України;</w:t>
      </w:r>
    </w:p>
    <w:p w:rsidR="00000000" w:rsidRDefault="0057521F">
      <w:pPr>
        <w:pStyle w:val="rvps2"/>
      </w:pPr>
      <w:bookmarkStart w:id="99" w:name="n99"/>
      <w:bookmarkEnd w:id="99"/>
      <w:r>
        <w:t>для юридичних осіб нерезидентів - документ про реєстрацію у державі її місцезнаходже</w:t>
      </w:r>
      <w:r>
        <w:t>ння (витяг з торговельного, банківського або судового реєстру тощо), засвідчений згідно із законодавством держави його видачі, перекладений на українську мову.</w:t>
      </w:r>
    </w:p>
    <w:p w:rsidR="00000000" w:rsidRDefault="0057521F">
      <w:pPr>
        <w:pStyle w:val="rvps2"/>
      </w:pPr>
      <w:bookmarkStart w:id="100" w:name="n100"/>
      <w:bookmarkEnd w:id="100"/>
      <w:r>
        <w:t>10. Відомості про учасників аукціону не підлягають розголошенню до його завершення.</w:t>
      </w:r>
    </w:p>
    <w:p w:rsidR="00000000" w:rsidRDefault="0057521F">
      <w:pPr>
        <w:pStyle w:val="rvps2"/>
      </w:pPr>
      <w:bookmarkStart w:id="101" w:name="n101"/>
      <w:bookmarkEnd w:id="101"/>
      <w:r>
        <w:lastRenderedPageBreak/>
        <w:t>11. Реєстрац</w:t>
      </w:r>
      <w:r>
        <w:t>ійний внесок визначається у розмірі:</w:t>
      </w:r>
    </w:p>
    <w:p w:rsidR="00000000" w:rsidRDefault="0057521F">
      <w:pPr>
        <w:pStyle w:val="rvps2"/>
      </w:pPr>
      <w:bookmarkStart w:id="102" w:name="n102"/>
      <w:bookmarkEnd w:id="102"/>
      <w:r>
        <w:t>якщо стартова ціна лота становить не більше 300 тис. гривень, - 20 неоподатковуваних мінімумів доходів громадян;</w:t>
      </w:r>
    </w:p>
    <w:p w:rsidR="00000000" w:rsidRDefault="0057521F">
      <w:pPr>
        <w:pStyle w:val="rvps2"/>
      </w:pPr>
      <w:bookmarkStart w:id="103" w:name="n103"/>
      <w:bookmarkEnd w:id="103"/>
      <w:r>
        <w:t>якщо стартова ціна лота становить від 300 тис. до 1 млн. гривень, - 30 неоподатковуваних мінімумів доходів</w:t>
      </w:r>
      <w:r>
        <w:t xml:space="preserve"> громадян;</w:t>
      </w:r>
    </w:p>
    <w:p w:rsidR="00000000" w:rsidRDefault="0057521F">
      <w:pPr>
        <w:pStyle w:val="rvps2"/>
      </w:pPr>
      <w:bookmarkStart w:id="104" w:name="n104"/>
      <w:bookmarkEnd w:id="104"/>
      <w:r>
        <w:t>якщо стартова ціна лота становить більше 1 млн. гривень, - 100 неоподатковуваних мінімумів доходів громадян.</w:t>
      </w:r>
    </w:p>
    <w:p w:rsidR="00000000" w:rsidRDefault="0057521F">
      <w:pPr>
        <w:pStyle w:val="rvps2"/>
      </w:pPr>
      <w:bookmarkStart w:id="105" w:name="n105"/>
      <w:bookmarkEnd w:id="105"/>
      <w:r>
        <w:t xml:space="preserve">Реєстраційний внесок учасникам аукціону не повертається, крім випадків, передбачених абзацами </w:t>
      </w:r>
      <w:hyperlink w:anchor="n125" w:history="1">
        <w:r>
          <w:rPr>
            <w:rStyle w:val="a3"/>
            <w:color w:val="006600"/>
            <w:u w:val="none"/>
          </w:rPr>
          <w:t>четвертим</w:t>
        </w:r>
      </w:hyperlink>
      <w:r>
        <w:t xml:space="preserve"> і </w:t>
      </w:r>
      <w:hyperlink w:anchor="n126" w:history="1">
        <w:r>
          <w:rPr>
            <w:rStyle w:val="a3"/>
            <w:color w:val="006600"/>
            <w:u w:val="none"/>
          </w:rPr>
          <w:t>п’ятим</w:t>
        </w:r>
      </w:hyperlink>
      <w:r>
        <w:t xml:space="preserve"> пункту 19 цього Порядку.</w:t>
      </w:r>
    </w:p>
    <w:p w:rsidR="00000000" w:rsidRDefault="0057521F">
      <w:pPr>
        <w:pStyle w:val="rvps2"/>
      </w:pPr>
      <w:bookmarkStart w:id="106" w:name="n106"/>
      <w:bookmarkEnd w:id="106"/>
      <w:r>
        <w:t>12. Гарантійний внесок встановлюється у розмірі 5 відсотків стартової ціни лота.</w:t>
      </w:r>
    </w:p>
    <w:p w:rsidR="00000000" w:rsidRDefault="0057521F">
      <w:pPr>
        <w:pStyle w:val="rvps2"/>
      </w:pPr>
      <w:bookmarkStart w:id="107" w:name="n107"/>
      <w:bookmarkEnd w:id="107"/>
      <w:r>
        <w:t>Особам, які анулювали свою закриту цінову пропозицію, гарантійні внески повертаються операторами, яким були сплачені вн</w:t>
      </w:r>
      <w:r>
        <w:t>ески, протягом трьох робочих днів з дня, наступного за днем такого анулювання.</w:t>
      </w:r>
    </w:p>
    <w:p w:rsidR="00000000" w:rsidRDefault="0057521F">
      <w:pPr>
        <w:pStyle w:val="rvps2"/>
      </w:pPr>
      <w:bookmarkStart w:id="108" w:name="n108"/>
      <w:bookmarkEnd w:id="108"/>
      <w:r>
        <w:t>Учасникам аукціону, крім переможців, гарантійні внески повертаються операторами, яким були сплачені внески, протягом трьох робочих днів після дня завершення аукціону.</w:t>
      </w:r>
    </w:p>
    <w:p w:rsidR="00000000" w:rsidRDefault="0057521F">
      <w:pPr>
        <w:pStyle w:val="rvps2"/>
      </w:pPr>
      <w:bookmarkStart w:id="109" w:name="n109"/>
      <w:bookmarkEnd w:id="109"/>
      <w:r>
        <w:t>Учаснику а</w:t>
      </w:r>
      <w:r>
        <w:t>укціону з наступною за величиною ціновою пропозицією після переможця аукціону гарантійний внесок повертається оператором, якому внесок був сплачений, протягом трьох робочих днів після настання однієї з таких подій:</w:t>
      </w:r>
    </w:p>
    <w:p w:rsidR="00000000" w:rsidRDefault="0057521F">
      <w:pPr>
        <w:pStyle w:val="rvps2"/>
      </w:pPr>
      <w:bookmarkStart w:id="110" w:name="n110"/>
      <w:bookmarkEnd w:id="110"/>
      <w:r>
        <w:t xml:space="preserve">відмови учасника аукціону з наступною за </w:t>
      </w:r>
      <w:r>
        <w:t>величиною ціновою пропозицією від очікування шляхом надіслання оператору листа (звернення) щодо повернення сплаченого гарантійного внеску та натискання цим учасником відповідної кнопки в особистому кабінеті;</w:t>
      </w:r>
    </w:p>
    <w:p w:rsidR="00000000" w:rsidRDefault="0057521F">
      <w:pPr>
        <w:pStyle w:val="rvps2"/>
      </w:pPr>
      <w:bookmarkStart w:id="111" w:name="n111"/>
      <w:bookmarkEnd w:id="111"/>
      <w:r>
        <w:t>визнання аукціону таким, що відбувся.</w:t>
      </w:r>
    </w:p>
    <w:p w:rsidR="00000000" w:rsidRDefault="0057521F">
      <w:pPr>
        <w:pStyle w:val="rvps2"/>
      </w:pPr>
      <w:bookmarkStart w:id="112" w:name="n112"/>
      <w:bookmarkEnd w:id="112"/>
      <w:r>
        <w:t>Гарантійни</w:t>
      </w:r>
      <w:r>
        <w:t>й внесок не повертається особі, позбавленій статусу учасника аукціону, а перераховується оператором, якому внесок був сплачений, організатору аукціону протягом 10 робочих днів з моменту прийняття рішення про позбавлення такої особи статусу учасника аукціон</w:t>
      </w:r>
      <w:r>
        <w:t>у.</w:t>
      </w:r>
    </w:p>
    <w:p w:rsidR="00000000" w:rsidRDefault="0057521F">
      <w:pPr>
        <w:pStyle w:val="rvps2"/>
      </w:pPr>
      <w:bookmarkStart w:id="113" w:name="n113"/>
      <w:bookmarkEnd w:id="113"/>
      <w:r>
        <w:t>13. Реєстраційний та гарантійний внески вважаються сплаченими з моменту їх зарахування на банківський рахунок оператора, але не пізніше, ніж за одну годину до закінчення строку прийняття заяв на участь в аукціоні.</w:t>
      </w:r>
    </w:p>
    <w:p w:rsidR="00000000" w:rsidRDefault="0057521F">
      <w:pPr>
        <w:pStyle w:val="rvps2"/>
      </w:pPr>
      <w:bookmarkStart w:id="114" w:name="n114"/>
      <w:bookmarkEnd w:id="114"/>
      <w:r>
        <w:t>Внески, зараховані на банківський рахунок оператора менше ніж за одну годину до закінчення строку прийняття заяв на участь в аукціоні, не вважаються вчасно сплаченими та підлягають поверненню особі, яка їх сплатила, не пізніше ніж через три робочих дні піс</w:t>
      </w:r>
      <w:r>
        <w:t>ля дня завершення аукціону.</w:t>
      </w:r>
    </w:p>
    <w:p w:rsidR="00000000" w:rsidRDefault="0057521F">
      <w:pPr>
        <w:pStyle w:val="rvps2"/>
      </w:pPr>
      <w:bookmarkStart w:id="115" w:name="n115"/>
      <w:bookmarkEnd w:id="115"/>
      <w:r>
        <w:t>14. Оператор зобов’язаний поінформувати особу, яка сплатила гарантійний та реєстраційний внески, про зарахування їх на свій банківський рахунок протягом однієї години з моменту зарахування.</w:t>
      </w:r>
    </w:p>
    <w:p w:rsidR="00000000" w:rsidRDefault="0057521F">
      <w:pPr>
        <w:pStyle w:val="rvps2"/>
      </w:pPr>
      <w:bookmarkStart w:id="116" w:name="n116"/>
      <w:bookmarkEnd w:id="116"/>
      <w:r>
        <w:t>15. До закінчення строку прийняття зая</w:t>
      </w:r>
      <w:r>
        <w:t>в на участь в аукціоні особи, що їх подали, мають право анулювати їх або внести до них зміни виключно в особистому кабінеті.</w:t>
      </w:r>
    </w:p>
    <w:p w:rsidR="00000000" w:rsidRDefault="0057521F">
      <w:pPr>
        <w:pStyle w:val="rvps2"/>
      </w:pPr>
      <w:bookmarkStart w:id="117" w:name="n117"/>
      <w:bookmarkEnd w:id="117"/>
      <w:r>
        <w:t>16. Якщо на момент закінчення строку прийняття заяв на участь в аукціоні не подано жодної заяви, аукціон вважається таким, що не ві</w:t>
      </w:r>
      <w:r>
        <w:t>дбувся.</w:t>
      </w:r>
    </w:p>
    <w:p w:rsidR="00000000" w:rsidRDefault="0057521F">
      <w:pPr>
        <w:pStyle w:val="rvps2"/>
      </w:pPr>
      <w:bookmarkStart w:id="118" w:name="n118"/>
      <w:bookmarkEnd w:id="118"/>
      <w:r>
        <w:t xml:space="preserve">17. У разі коли для участі в аукціоні подано заяву на участь від однієї особи (єдиного претендента), організатор має право прийняти рішення про продаж безпосередньо єдиному </w:t>
      </w:r>
      <w:r>
        <w:lastRenderedPageBreak/>
        <w:t>претенденту за запропонованою ним закритою ціновою пропозицією, але не нижч</w:t>
      </w:r>
      <w:r>
        <w:t>е стартової ціни лота.</w:t>
      </w:r>
    </w:p>
    <w:p w:rsidR="00000000" w:rsidRDefault="0057521F">
      <w:pPr>
        <w:pStyle w:val="rvps2"/>
      </w:pPr>
      <w:bookmarkStart w:id="119" w:name="n119"/>
      <w:bookmarkEnd w:id="119"/>
      <w:r>
        <w:t xml:space="preserve">Єдиний претендент сплачує винагороду оператору в порядку та розмірі, що передбачені </w:t>
      </w:r>
      <w:hyperlink w:anchor="n162" w:history="1">
        <w:r>
          <w:rPr>
            <w:rStyle w:val="a3"/>
            <w:color w:val="006600"/>
            <w:u w:val="none"/>
          </w:rPr>
          <w:t>пунктами 31</w:t>
        </w:r>
      </w:hyperlink>
      <w:r>
        <w:t xml:space="preserve"> і </w:t>
      </w:r>
      <w:hyperlink w:anchor="n163" w:history="1">
        <w:r>
          <w:rPr>
            <w:rStyle w:val="a3"/>
            <w:color w:val="006600"/>
            <w:u w:val="none"/>
          </w:rPr>
          <w:t>32</w:t>
        </w:r>
      </w:hyperlink>
      <w:r>
        <w:t xml:space="preserve"> цього Порядку.</w:t>
      </w:r>
    </w:p>
    <w:p w:rsidR="00000000" w:rsidRDefault="0057521F">
      <w:pPr>
        <w:pStyle w:val="rvps2"/>
      </w:pPr>
      <w:bookmarkStart w:id="120" w:name="n120"/>
      <w:bookmarkEnd w:id="120"/>
      <w:r>
        <w:t xml:space="preserve">18. Оператор надсилає кожній особі, яка вчасно </w:t>
      </w:r>
      <w:r>
        <w:t>подала заяву на участь в аукціоні та сплатила реєстраційний і гарантійний внески, посилання на вебсторінку аукціону.</w:t>
      </w:r>
    </w:p>
    <w:p w:rsidR="00000000" w:rsidRDefault="0057521F">
      <w:pPr>
        <w:pStyle w:val="rvps2"/>
      </w:pPr>
      <w:bookmarkStart w:id="121" w:name="n121"/>
      <w:bookmarkEnd w:id="121"/>
      <w:r>
        <w:t>Таке посилання підтверджує отримання статусу учасника аукціону та є його ідентифікатором.</w:t>
      </w:r>
    </w:p>
    <w:p w:rsidR="00000000" w:rsidRDefault="0057521F">
      <w:pPr>
        <w:pStyle w:val="rvps2"/>
      </w:pPr>
      <w:bookmarkStart w:id="122" w:name="n122"/>
      <w:bookmarkEnd w:id="122"/>
      <w:r>
        <w:t>19. Організатор аукціону може прийняти рішення пр</w:t>
      </w:r>
      <w:r>
        <w:t>о відміну аукціону на будь-якому етапі його проведення до моменту його початку.</w:t>
      </w:r>
    </w:p>
    <w:p w:rsidR="00000000" w:rsidRDefault="0057521F">
      <w:pPr>
        <w:pStyle w:val="rvps2"/>
      </w:pPr>
      <w:bookmarkStart w:id="123" w:name="n123"/>
      <w:bookmarkEnd w:id="123"/>
      <w:r>
        <w:t xml:space="preserve">У разі відміни аукціону черговість призначення аукціонів, передбачена </w:t>
      </w:r>
      <w:hyperlink w:anchor="n130" w:history="1">
        <w:r>
          <w:rPr>
            <w:rStyle w:val="a3"/>
            <w:color w:val="006600"/>
            <w:u w:val="none"/>
          </w:rPr>
          <w:t>пунктом 21</w:t>
        </w:r>
      </w:hyperlink>
      <w:r>
        <w:t xml:space="preserve"> цього Порядку, не застосовується.</w:t>
      </w:r>
    </w:p>
    <w:p w:rsidR="00000000" w:rsidRDefault="0057521F">
      <w:pPr>
        <w:pStyle w:val="rvps2"/>
      </w:pPr>
      <w:bookmarkStart w:id="124" w:name="n124"/>
      <w:bookmarkEnd w:id="124"/>
      <w:r>
        <w:t xml:space="preserve">Повідомлення про відміну аукціону </w:t>
      </w:r>
      <w:r>
        <w:t>підлягає оприлюдненню в день прийняття такого рішення у тому самому порядку, що і оприлюднення оголошення про проведення аукціону.</w:t>
      </w:r>
    </w:p>
    <w:p w:rsidR="00000000" w:rsidRDefault="0057521F">
      <w:pPr>
        <w:pStyle w:val="rvps2"/>
      </w:pPr>
      <w:bookmarkStart w:id="125" w:name="n125"/>
      <w:bookmarkEnd w:id="125"/>
      <w:r>
        <w:t>У разі відміни аукціону реєстраційні та гарантійні внески повертаються його учасникам відповідними операторами не пізніше ніж</w:t>
      </w:r>
      <w:r>
        <w:t xml:space="preserve"> через три робочих дні після відміни аукціону.</w:t>
      </w:r>
    </w:p>
    <w:p w:rsidR="00000000" w:rsidRDefault="0057521F">
      <w:pPr>
        <w:pStyle w:val="rvps2"/>
      </w:pPr>
      <w:bookmarkStart w:id="126" w:name="n126"/>
      <w:bookmarkEnd w:id="126"/>
      <w:r>
        <w:t>Реєстраційні та гарантійні внески осіб, що сплатили такі внески, але не отримали статусу учасника аукціону, повертаються їм не пізніше ніж через три робочих дні після дня настання такої обставини.</w:t>
      </w:r>
    </w:p>
    <w:p w:rsidR="00000000" w:rsidRDefault="0057521F">
      <w:pPr>
        <w:pStyle w:val="rvps2"/>
      </w:pPr>
      <w:bookmarkStart w:id="127" w:name="n127"/>
      <w:bookmarkEnd w:id="127"/>
      <w:r>
        <w:t>20. У ході п</w:t>
      </w:r>
      <w:r>
        <w:t>роведення аукціону його учасник може підвищити свою закриту цінову пропозицію, подану разом із заявою на участь в аукціоні, на будь-яку суму, але не менше ніж на розмір кроку аукціону.</w:t>
      </w:r>
    </w:p>
    <w:p w:rsidR="00000000" w:rsidRDefault="0057521F">
      <w:pPr>
        <w:pStyle w:val="rvps2"/>
      </w:pPr>
      <w:bookmarkStart w:id="128" w:name="n128"/>
      <w:bookmarkEnd w:id="128"/>
      <w:r>
        <w:t>У разі відсутності цінової пропозиції від учасника аукціону протягом ві</w:t>
      </w:r>
      <w:r>
        <w:t>дведеного часу його цінова пропозиція в поточному раунді вважається такою, що зроблена в розмірі його закритої цінової пропозиції для першого раунду або його попередньої цінової пропозиції.</w:t>
      </w:r>
    </w:p>
    <w:p w:rsidR="00000000" w:rsidRDefault="0057521F">
      <w:pPr>
        <w:pStyle w:val="rvps2"/>
      </w:pPr>
      <w:bookmarkStart w:id="129" w:name="n129"/>
      <w:bookmarkEnd w:id="129"/>
      <w:r>
        <w:t>Якщо учасник аукціону зробив цінову пропозицію раніше закінчення в</w:t>
      </w:r>
      <w:r>
        <w:t>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такого учасника, до завершення відведено</w:t>
      </w:r>
      <w:r>
        <w:t>го часу. Якщо учасник не вносив та/або не змінював цінову пропозицію протягом відведеного часу, електронна торгова система фіксує його попередню цінову пропозицію.</w:t>
      </w:r>
    </w:p>
    <w:p w:rsidR="00000000" w:rsidRDefault="0057521F">
      <w:pPr>
        <w:pStyle w:val="rvps2"/>
      </w:pPr>
      <w:bookmarkStart w:id="130" w:name="n130"/>
      <w:bookmarkEnd w:id="130"/>
      <w:r>
        <w:t>21. Лот, що не був реалізований на аукціоні, виставляється його організатором на другий аукц</w:t>
      </w:r>
      <w:r>
        <w:t>іон.</w:t>
      </w:r>
    </w:p>
    <w:p w:rsidR="00000000" w:rsidRDefault="0057521F">
      <w:pPr>
        <w:pStyle w:val="rvps2"/>
      </w:pPr>
      <w:bookmarkStart w:id="131" w:name="n131"/>
      <w:bookmarkEnd w:id="131"/>
      <w:r>
        <w:t>Стартова ціна на другому аукціоні визначається рішенням організатора із застосовуванням дисконту, але не нижче рівня собівартості лота.</w:t>
      </w:r>
    </w:p>
    <w:p w:rsidR="00000000" w:rsidRDefault="0057521F">
      <w:pPr>
        <w:pStyle w:val="rvps2"/>
      </w:pPr>
      <w:bookmarkStart w:id="132" w:name="n132"/>
      <w:bookmarkEnd w:id="132"/>
      <w:r>
        <w:t>22. Оголошення про проведення електронного аукціону оприлюднюється в електронній торговій системі не пізніше наступ</w:t>
      </w:r>
      <w:r>
        <w:t>ного робочого дня після проведення попереднього аукціону, на якому лот не було реалізовано.</w:t>
      </w:r>
    </w:p>
    <w:p w:rsidR="00000000" w:rsidRDefault="0057521F">
      <w:pPr>
        <w:pStyle w:val="rvps2"/>
      </w:pPr>
      <w:bookmarkStart w:id="133" w:name="n133"/>
      <w:bookmarkEnd w:id="133"/>
      <w:r>
        <w:t>Другий аукціон проводиться не раніше ніж на сьомий робочий день після дня опублікування оголошення про його проведення.</w:t>
      </w:r>
    </w:p>
    <w:p w:rsidR="00000000" w:rsidRDefault="0057521F">
      <w:pPr>
        <w:pStyle w:val="rvps2"/>
      </w:pPr>
      <w:bookmarkStart w:id="134" w:name="n134"/>
      <w:bookmarkEnd w:id="134"/>
      <w:r>
        <w:t xml:space="preserve">23. Переможець аукціону визначається шляхом </w:t>
      </w:r>
      <w:r>
        <w:t>автоматичної оцінки електронною торговою системою цінових пропозицій учасників аукціону після його завершення.</w:t>
      </w:r>
    </w:p>
    <w:p w:rsidR="00000000" w:rsidRDefault="0057521F">
      <w:pPr>
        <w:pStyle w:val="rvps2"/>
      </w:pPr>
      <w:bookmarkStart w:id="135" w:name="n135"/>
      <w:bookmarkEnd w:id="135"/>
      <w:r>
        <w:lastRenderedPageBreak/>
        <w:t>Переможцем аукціону вважається учасник, який за результатами його проведення подав найвищу цінову пропозицію за лот, за умови, що таким учасником</w:t>
      </w:r>
      <w:r>
        <w:t xml:space="preserve"> був зроблений щонайменше один крок аукціону, тобто подана ним цінова пропозиція не менша за сукупну суму стартової ціни лота та кроку аукціону, а за однакових цінових пропозицій - учасник, що подав її раніше.</w:t>
      </w:r>
    </w:p>
    <w:p w:rsidR="00000000" w:rsidRDefault="0057521F">
      <w:pPr>
        <w:pStyle w:val="rvps2"/>
      </w:pPr>
      <w:bookmarkStart w:id="136" w:name="n136"/>
      <w:bookmarkEnd w:id="136"/>
      <w:r>
        <w:t>У разі коли механізм проведення аукціону перед</w:t>
      </w:r>
      <w:r>
        <w:t>бачає наявність кількох переможців, ними визнаються учасники, які на етапі подання закритих цінових пропозицій або в ході проведення аукціону подали найвищі цінові пропозиції на заявлений ними об’єм деревини у межах розміру лоту, що розподіляється на аукці</w:t>
      </w:r>
      <w:r>
        <w:t>оні, за умови, що такими учасниками був зроблений щонайменше один крок аукціону, тобто подана ними цінова пропозиція не менша за сукупну суму стартової ціни лота та кроку аукціону, а за однакових цінових пропозицій - учасник, що подав її раніше.</w:t>
      </w:r>
    </w:p>
    <w:p w:rsidR="00000000" w:rsidRDefault="0057521F">
      <w:pPr>
        <w:pStyle w:val="rvps2"/>
      </w:pPr>
      <w:bookmarkStart w:id="137" w:name="n137"/>
      <w:bookmarkEnd w:id="137"/>
      <w:r>
        <w:t>24. Перемо</w:t>
      </w:r>
      <w:r>
        <w:t>жець аукціону зобов’язується:</w:t>
      </w:r>
    </w:p>
    <w:p w:rsidR="00000000" w:rsidRDefault="0057521F">
      <w:pPr>
        <w:pStyle w:val="rvps2"/>
      </w:pPr>
      <w:bookmarkStart w:id="138" w:name="n138"/>
      <w:bookmarkEnd w:id="138"/>
      <w:r>
        <w:t>підписати протокол аукціону;</w:t>
      </w:r>
    </w:p>
    <w:p w:rsidR="00000000" w:rsidRDefault="0057521F">
      <w:pPr>
        <w:pStyle w:val="rvps2"/>
      </w:pPr>
      <w:bookmarkStart w:id="139" w:name="n139"/>
      <w:bookmarkEnd w:id="139"/>
      <w:r>
        <w:t xml:space="preserve">укласти договір купівлі-продажу лота з організатором згідно з </w:t>
      </w:r>
      <w:hyperlink w:anchor="n156" w:history="1">
        <w:r>
          <w:rPr>
            <w:rStyle w:val="a3"/>
            <w:color w:val="006600"/>
            <w:u w:val="none"/>
          </w:rPr>
          <w:t>пунктом 29</w:t>
        </w:r>
      </w:hyperlink>
      <w:r>
        <w:t xml:space="preserve"> цього Порядку;</w:t>
      </w:r>
    </w:p>
    <w:p w:rsidR="00000000" w:rsidRDefault="0057521F">
      <w:pPr>
        <w:pStyle w:val="rvps2"/>
      </w:pPr>
      <w:bookmarkStart w:id="140" w:name="n140"/>
      <w:bookmarkEnd w:id="140"/>
      <w:r>
        <w:t xml:space="preserve">сплатити передоплату за договором купівлі-продажу лота з організатором згідно з </w:t>
      </w:r>
      <w:hyperlink w:anchor="n157" w:history="1">
        <w:r>
          <w:rPr>
            <w:rStyle w:val="a3"/>
            <w:color w:val="006600"/>
            <w:u w:val="none"/>
          </w:rPr>
          <w:t>абзацом другим</w:t>
        </w:r>
      </w:hyperlink>
      <w:r>
        <w:t xml:space="preserve"> пункту 29 цього Порядку.</w:t>
      </w:r>
    </w:p>
    <w:p w:rsidR="00000000" w:rsidRDefault="0057521F">
      <w:pPr>
        <w:pStyle w:val="rvps2"/>
      </w:pPr>
      <w:bookmarkStart w:id="141" w:name="n141"/>
      <w:bookmarkEnd w:id="141"/>
      <w:r>
        <w:t>25. Протокол про результати проведення аукціону в електронній формі формується та оприлюднюється електронною торговою системою автоматично в день завершення аукціону.</w:t>
      </w:r>
    </w:p>
    <w:p w:rsidR="00000000" w:rsidRDefault="0057521F">
      <w:pPr>
        <w:pStyle w:val="rvps2"/>
      </w:pPr>
      <w:bookmarkStart w:id="142" w:name="n142"/>
      <w:bookmarkEnd w:id="142"/>
      <w:r>
        <w:t>До протоколу вноситься така інформація:</w:t>
      </w:r>
    </w:p>
    <w:p w:rsidR="00000000" w:rsidRDefault="0057521F">
      <w:pPr>
        <w:pStyle w:val="rvps2"/>
      </w:pPr>
      <w:bookmarkStart w:id="143" w:name="n143"/>
      <w:bookmarkEnd w:id="143"/>
      <w:r>
        <w:t>дата і час початку та завершення аукціону;</w:t>
      </w:r>
    </w:p>
    <w:p w:rsidR="00000000" w:rsidRDefault="0057521F">
      <w:pPr>
        <w:pStyle w:val="rvps2"/>
      </w:pPr>
      <w:bookmarkStart w:id="144" w:name="n144"/>
      <w:bookmarkEnd w:id="144"/>
      <w:r>
        <w:t>реєстраційний номер лота;</w:t>
      </w:r>
    </w:p>
    <w:p w:rsidR="00000000" w:rsidRDefault="0057521F">
      <w:pPr>
        <w:pStyle w:val="rvps2"/>
      </w:pPr>
      <w:bookmarkStart w:id="145" w:name="n145"/>
      <w:bookmarkEnd w:id="145"/>
      <w:r>
        <w:t>назва лота;</w:t>
      </w:r>
    </w:p>
    <w:p w:rsidR="00000000" w:rsidRDefault="0057521F">
      <w:pPr>
        <w:pStyle w:val="rvps2"/>
      </w:pPr>
      <w:bookmarkStart w:id="146" w:name="n146"/>
      <w:bookmarkEnd w:id="146"/>
      <w:r>
        <w:t>стартова ціна та ціна реалізації лота;</w:t>
      </w:r>
    </w:p>
    <w:p w:rsidR="00000000" w:rsidRDefault="0057521F">
      <w:pPr>
        <w:pStyle w:val="rvps2"/>
      </w:pPr>
      <w:bookmarkStart w:id="147" w:name="n147"/>
      <w:bookmarkEnd w:id="147"/>
      <w:r>
        <w:t>цінові пропозиції учасників;</w:t>
      </w:r>
    </w:p>
    <w:p w:rsidR="00000000" w:rsidRDefault="0057521F">
      <w:pPr>
        <w:pStyle w:val="rvps2"/>
      </w:pPr>
      <w:bookmarkStart w:id="148" w:name="n148"/>
      <w:bookmarkEnd w:id="148"/>
      <w:r>
        <w:t>сума сплачених реєстраційного та гарантійного внесків;</w:t>
      </w:r>
    </w:p>
    <w:p w:rsidR="00000000" w:rsidRDefault="0057521F">
      <w:pPr>
        <w:pStyle w:val="rvps2"/>
      </w:pPr>
      <w:bookmarkStart w:id="149" w:name="n149"/>
      <w:bookmarkEnd w:id="149"/>
      <w:r>
        <w:t>розмір винаг</w:t>
      </w:r>
      <w:r>
        <w:t>ороди оператора;</w:t>
      </w:r>
    </w:p>
    <w:p w:rsidR="00000000" w:rsidRDefault="0057521F">
      <w:pPr>
        <w:pStyle w:val="rvps2"/>
      </w:pPr>
      <w:bookmarkStart w:id="150" w:name="n150"/>
      <w:bookmarkEnd w:id="150"/>
      <w:r>
        <w:t>відомості про переможця та учасників аукціону, а також документи, подані ними під час реєстрації участі в аукціоні.</w:t>
      </w:r>
    </w:p>
    <w:p w:rsidR="00000000" w:rsidRDefault="0057521F">
      <w:pPr>
        <w:pStyle w:val="rvps2"/>
      </w:pPr>
      <w:bookmarkStart w:id="151" w:name="n151"/>
      <w:bookmarkEnd w:id="151"/>
      <w:r>
        <w:t>Облік та зберігання всіх електронних протоколів здійснюються в електронній торговій системі.</w:t>
      </w:r>
    </w:p>
    <w:p w:rsidR="00000000" w:rsidRDefault="0057521F">
      <w:pPr>
        <w:pStyle w:val="rvps2"/>
      </w:pPr>
      <w:bookmarkStart w:id="152" w:name="n152"/>
      <w:bookmarkEnd w:id="152"/>
      <w:r>
        <w:t>26. Протокол аукціону підписує</w:t>
      </w:r>
      <w:r>
        <w:t>ться в день його опублікування в електронній торговій системі переможцем аукціону та оператором електронного майданчика, з якого переможець подав цінову пропозицію, за допомогою кваліфікованого електронного підпису уповноваженої особи.</w:t>
      </w:r>
    </w:p>
    <w:p w:rsidR="00000000" w:rsidRDefault="0057521F">
      <w:pPr>
        <w:pStyle w:val="rvps2"/>
      </w:pPr>
      <w:bookmarkStart w:id="153" w:name="n153"/>
      <w:bookmarkEnd w:id="153"/>
      <w:r>
        <w:t>27. Організатор аукц</w:t>
      </w:r>
      <w:r>
        <w:t xml:space="preserve">іону після його завершення, розкриття відомостей про переможця і поданих ним документів, а також підписання протоколу аукціону переможцем та оператором електронного майданчика, з якого переможець подав цінову пропозицію, з дотриманням вимог </w:t>
      </w:r>
      <w:hyperlink w:anchor="n152" w:history="1">
        <w:r>
          <w:rPr>
            <w:rStyle w:val="a3"/>
            <w:color w:val="006600"/>
            <w:u w:val="none"/>
          </w:rPr>
          <w:t>пункту 26</w:t>
        </w:r>
      </w:hyperlink>
      <w:r>
        <w:t xml:space="preserve"> цього Порядку перевіряє не пізніше наступного робочого дня після дня завершення аукціону відповідність переможця вимогам організатора до покупця в разі, коли такі вимоги організатором ставилися.</w:t>
      </w:r>
    </w:p>
    <w:p w:rsidR="00000000" w:rsidRDefault="0057521F">
      <w:pPr>
        <w:pStyle w:val="rvps2"/>
      </w:pPr>
      <w:bookmarkStart w:id="154" w:name="n154"/>
      <w:bookmarkEnd w:id="154"/>
      <w:r>
        <w:lastRenderedPageBreak/>
        <w:t>Організатор аукціону не має права стави</w:t>
      </w:r>
      <w:r>
        <w:t>ти додаткові вимоги або витребовувати додаткові документи у переможця аукціону, крім тих, що зазначені в оголошенні про проведення аукціону.</w:t>
      </w:r>
    </w:p>
    <w:p w:rsidR="00000000" w:rsidRDefault="0057521F">
      <w:pPr>
        <w:pStyle w:val="rvps2"/>
      </w:pPr>
      <w:bookmarkStart w:id="155" w:name="n155"/>
      <w:bookmarkEnd w:id="155"/>
      <w:r>
        <w:t>28. У разі встановлення відповідності переможця аукціону вимогам організатора до покупця організатор аукціону підпи</w:t>
      </w:r>
      <w:r>
        <w:t>сує протокол аукціону за допомогою кваліфікованого електронного підпису уповноваженої особи та опубліковує підписаний протокол аукціону в електронній торговій системі не пізніше наступного робочого дня після дня його завершення.</w:t>
      </w:r>
    </w:p>
    <w:p w:rsidR="00000000" w:rsidRDefault="0057521F">
      <w:pPr>
        <w:pStyle w:val="rvps2"/>
      </w:pPr>
      <w:bookmarkStart w:id="156" w:name="n156"/>
      <w:bookmarkEnd w:id="156"/>
      <w:r>
        <w:t>29. Договір купівлі-продажу</w:t>
      </w:r>
      <w:r>
        <w:t xml:space="preserve"> лота за результатами проведення аукціону підписується його переможцем та організатором протягом 10 робочих днів після дня опублікування протоколу аукціону в електронній торговій системі за допомогою кваліфікованого електронного підпису уповноваженої особи</w:t>
      </w:r>
      <w:r>
        <w:t>.</w:t>
      </w:r>
    </w:p>
    <w:p w:rsidR="00000000" w:rsidRDefault="0057521F">
      <w:pPr>
        <w:pStyle w:val="rvps2"/>
      </w:pPr>
      <w:bookmarkStart w:id="157" w:name="n157"/>
      <w:bookmarkEnd w:id="157"/>
      <w:r>
        <w:t>Переможець аукціону зобов’язується сплатити передоплату за договором купівлі-продажу, укладеним з організатором, яка встановлюється в розмірі 10 відсотків ціни продажу лота.</w:t>
      </w:r>
    </w:p>
    <w:p w:rsidR="00000000" w:rsidRDefault="0057521F">
      <w:pPr>
        <w:pStyle w:val="rvps2"/>
      </w:pPr>
      <w:bookmarkStart w:id="158" w:name="n158"/>
      <w:bookmarkEnd w:id="158"/>
      <w:r>
        <w:t>Передоплата вважається сплаченою з моменту зарахування грошових коштів на рахунк</w:t>
      </w:r>
      <w:r>
        <w:t>и організатора, але не пізніше 10 робочих днів після дня укладення договору купівлі-продажу лота.</w:t>
      </w:r>
    </w:p>
    <w:p w:rsidR="00000000" w:rsidRDefault="0057521F">
      <w:pPr>
        <w:pStyle w:val="rvps2"/>
      </w:pPr>
      <w:bookmarkStart w:id="159" w:name="n159"/>
      <w:bookmarkEnd w:id="159"/>
      <w:r>
        <w:t>Порядок та строки подальших розрахунків за договором купівлі-продажу лота встановлюються таким договором.</w:t>
      </w:r>
    </w:p>
    <w:p w:rsidR="00000000" w:rsidRDefault="0057521F">
      <w:pPr>
        <w:pStyle w:val="rvps2"/>
      </w:pPr>
      <w:bookmarkStart w:id="160" w:name="n160"/>
      <w:bookmarkEnd w:id="160"/>
      <w:r>
        <w:t>Організатор аукціону забезпечує опублікування підпис</w:t>
      </w:r>
      <w:r>
        <w:t>аного договору купівлі-продажу лота в електронній торговій системі не пізніше наступного робочого дня після сплати переможцем передоплати за цим договором.</w:t>
      </w:r>
    </w:p>
    <w:p w:rsidR="00000000" w:rsidRDefault="0057521F">
      <w:pPr>
        <w:pStyle w:val="rvps2"/>
      </w:pPr>
      <w:bookmarkStart w:id="161" w:name="n161"/>
      <w:bookmarkEnd w:id="161"/>
      <w:r>
        <w:t>30. Аукціон вважається таким, що відбувся, після опублікування в електронній торговій системі органі</w:t>
      </w:r>
      <w:r>
        <w:t>затором аукціону договору купівлі-продажу лота, підписаного організатором та переможцем аукціону.</w:t>
      </w:r>
    </w:p>
    <w:p w:rsidR="00000000" w:rsidRDefault="0057521F">
      <w:pPr>
        <w:pStyle w:val="rvps2"/>
      </w:pPr>
      <w:bookmarkStart w:id="162" w:name="n162"/>
      <w:bookmarkEnd w:id="162"/>
      <w:r>
        <w:t>31. Оператор, через якого було оприлюднено оголошення про проведення аукціону в електронній торговій системі, а також оператор, через якого було подано найвищ</w:t>
      </w:r>
      <w:r>
        <w:t>у цінову пропозицію на аукціоні, мають право на винагороду, яка є оплатою послуг з організації та проведення аукціону, який визнано таким, що відбувся.</w:t>
      </w:r>
    </w:p>
    <w:p w:rsidR="00000000" w:rsidRDefault="0057521F">
      <w:pPr>
        <w:pStyle w:val="rvps2"/>
      </w:pPr>
      <w:bookmarkStart w:id="163" w:name="n163"/>
      <w:bookmarkEnd w:id="163"/>
      <w:r>
        <w:t>32. Після визнання аукціону таким, що відбувся, винагорода утримується оператором із суми гарантійного в</w:t>
      </w:r>
      <w:r>
        <w:t>неску, сплаченого переможцем аукціону. Розмір винагороди становить 1,5 відсотка ціни продажу лота.</w:t>
      </w:r>
    </w:p>
    <w:p w:rsidR="00000000" w:rsidRDefault="0057521F">
      <w:pPr>
        <w:pStyle w:val="rvps2"/>
      </w:pPr>
      <w:bookmarkStart w:id="164" w:name="n164"/>
      <w:bookmarkEnd w:id="164"/>
      <w:r>
        <w:t>Умови розподілу винагороди між операторами визначаються регламентом електронної торгової системи.</w:t>
      </w:r>
    </w:p>
    <w:p w:rsidR="00000000" w:rsidRDefault="0057521F">
      <w:pPr>
        <w:pStyle w:val="rvps2"/>
      </w:pPr>
      <w:bookmarkStart w:id="165" w:name="n165"/>
      <w:bookmarkEnd w:id="165"/>
      <w:r>
        <w:t>33. Різниця між сумою сплаченого переможцем гарантійного вн</w:t>
      </w:r>
      <w:r>
        <w:t>еску та сумою винагороди повертається переможцю аукціону оператором не пізніше п’яти робочих днів після визнання аукціону таким, що відбувся.</w:t>
      </w:r>
    </w:p>
    <w:p w:rsidR="00000000" w:rsidRDefault="0057521F">
      <w:pPr>
        <w:pStyle w:val="rvps2"/>
      </w:pPr>
      <w:bookmarkStart w:id="166" w:name="n166"/>
      <w:bookmarkEnd w:id="166"/>
      <w:r>
        <w:t>34. Організатор аукціону через особистий кабінет дискваліфікує переможця аукціону із зазначенням причин такої диск</w:t>
      </w:r>
      <w:r>
        <w:t>валіфікації у разі, коли:</w:t>
      </w:r>
    </w:p>
    <w:p w:rsidR="00000000" w:rsidRDefault="0057521F">
      <w:pPr>
        <w:pStyle w:val="rvps2"/>
      </w:pPr>
      <w:bookmarkStart w:id="167" w:name="n167"/>
      <w:bookmarkEnd w:id="167"/>
      <w:r>
        <w:t>переможець відмовився від підписання протоколу аукціону або не підписав його в установлений цим Порядком строк;</w:t>
      </w:r>
    </w:p>
    <w:p w:rsidR="00000000" w:rsidRDefault="0057521F">
      <w:pPr>
        <w:pStyle w:val="rvps2"/>
      </w:pPr>
      <w:bookmarkStart w:id="168" w:name="n168"/>
      <w:bookmarkEnd w:id="168"/>
      <w:r>
        <w:t>організатор установив невідповідність переможця вимогам до покупця та за неможливості усунення невідповідності протяго</w:t>
      </w:r>
      <w:r>
        <w:t xml:space="preserve">м строку, відведеного для підписання договору купівлі-продажу, передбаченого абзацом першим </w:t>
      </w:r>
      <w:hyperlink w:anchor="n156" w:history="1">
        <w:r>
          <w:rPr>
            <w:rStyle w:val="a3"/>
            <w:color w:val="006600"/>
            <w:u w:val="none"/>
          </w:rPr>
          <w:t>пункту 29</w:t>
        </w:r>
      </w:hyperlink>
      <w:r>
        <w:t xml:space="preserve"> цього Порядку;</w:t>
      </w:r>
    </w:p>
    <w:p w:rsidR="00000000" w:rsidRDefault="0057521F">
      <w:pPr>
        <w:pStyle w:val="rvps2"/>
      </w:pPr>
      <w:bookmarkStart w:id="169" w:name="n169"/>
      <w:bookmarkEnd w:id="169"/>
      <w:r>
        <w:lastRenderedPageBreak/>
        <w:t>переможець відмовився від підписання договору купівлі-продажу лота або не підписав його в установлений цим Поряд</w:t>
      </w:r>
      <w:r>
        <w:t>ком строк, або вчасно не здійснив передоплату за цим договором.</w:t>
      </w:r>
    </w:p>
    <w:p w:rsidR="00000000" w:rsidRDefault="0057521F">
      <w:pPr>
        <w:pStyle w:val="rvps2"/>
      </w:pPr>
      <w:bookmarkStart w:id="170" w:name="n170"/>
      <w:bookmarkEnd w:id="170"/>
      <w:r>
        <w:t>Не можуть бути підставою для дискваліфікації переможця помилки в оформленні заяви на участь в аукціоні або в документах та інформації, що подаються разом із такою заявою, які не впливають на з</w:t>
      </w:r>
      <w:r>
        <w:t>міст заяви або документів та інформації, зокрема технічні помилки та описки.</w:t>
      </w:r>
    </w:p>
    <w:p w:rsidR="00000000" w:rsidRDefault="0057521F">
      <w:pPr>
        <w:pStyle w:val="rvps2"/>
      </w:pPr>
      <w:bookmarkStart w:id="171" w:name="n171"/>
      <w:bookmarkEnd w:id="171"/>
      <w:r>
        <w:t>35. Електронний аукціон визнається таким, що не відбувся, в разі:</w:t>
      </w:r>
    </w:p>
    <w:p w:rsidR="00000000" w:rsidRDefault="0057521F">
      <w:pPr>
        <w:pStyle w:val="rvps2"/>
      </w:pPr>
      <w:bookmarkStart w:id="172" w:name="n172"/>
      <w:bookmarkEnd w:id="172"/>
      <w:r>
        <w:t xml:space="preserve">відмови учасника з наступною за величиною </w:t>
      </w:r>
      <w:r>
        <w:t>ціновою пропозицією після переможця від очікування та дискваліфікації переможця аукціону;</w:t>
      </w:r>
    </w:p>
    <w:p w:rsidR="00000000" w:rsidRDefault="0057521F">
      <w:pPr>
        <w:pStyle w:val="rvps2"/>
      </w:pPr>
      <w:bookmarkStart w:id="173" w:name="n173"/>
      <w:bookmarkEnd w:id="173"/>
      <w:r>
        <w:t xml:space="preserve">дискваліфікації учасника з наступною за величиною ціновою пропозицією, якого електронна торгова система визначила переможцем аукціону, з підстав, зазначених у </w:t>
      </w:r>
      <w:hyperlink w:anchor="n166" w:history="1">
        <w:r>
          <w:rPr>
            <w:rStyle w:val="a3"/>
            <w:color w:val="006600"/>
            <w:u w:val="none"/>
          </w:rPr>
          <w:t>пункті 34</w:t>
        </w:r>
      </w:hyperlink>
      <w:r>
        <w:t xml:space="preserve"> цього Порядку.</w:t>
      </w:r>
    </w:p>
    <w:p w:rsidR="0057521F" w:rsidRDefault="0057521F">
      <w:pPr>
        <w:pStyle w:val="rvps2"/>
      </w:pPr>
      <w:bookmarkStart w:id="174" w:name="n174"/>
      <w:bookmarkEnd w:id="174"/>
      <w:r>
        <w:t>36. Спори, пов’язані з реалізацією товарів на аукціонах відповідно до цього Порядку, розв’язуються в судовому порядку.</w:t>
      </w:r>
    </w:p>
    <w:sectPr w:rsidR="0057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372B"/>
    <w:rsid w:val="0038372B"/>
    <w:rsid w:val="0057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A6B5D-9758-484A-B9BF-71E55F3D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rvps0">
    <w:name w:val="rvps0"/>
    <w:basedOn w:val="a"/>
    <w:uiPriority w:val="99"/>
    <w:semiHidden/>
    <w:pPr>
      <w:spacing w:after="150"/>
      <w:ind w:left="450"/>
      <w:jc w:val="both"/>
    </w:pPr>
  </w:style>
  <w:style w:type="paragraph" w:customStyle="1" w:styleId="rvps1">
    <w:name w:val="rvps1"/>
    <w:basedOn w:val="a"/>
    <w:uiPriority w:val="99"/>
    <w:semiHidden/>
    <w:pPr>
      <w:spacing w:before="150"/>
      <w:jc w:val="center"/>
    </w:pPr>
  </w:style>
  <w:style w:type="paragraph" w:customStyle="1" w:styleId="rvps2">
    <w:name w:val="rvps2"/>
    <w:basedOn w:val="a"/>
    <w:uiPriority w:val="99"/>
    <w:semiHidden/>
    <w:pPr>
      <w:spacing w:after="150"/>
      <w:ind w:firstLine="450"/>
      <w:jc w:val="both"/>
    </w:pPr>
  </w:style>
  <w:style w:type="paragraph" w:customStyle="1" w:styleId="rvps3">
    <w:name w:val="rvps3"/>
    <w:basedOn w:val="a"/>
    <w:uiPriority w:val="99"/>
    <w:semiHidden/>
    <w:pPr>
      <w:spacing w:after="150"/>
      <w:ind w:left="450" w:right="450"/>
      <w:jc w:val="center"/>
    </w:pPr>
  </w:style>
  <w:style w:type="paragraph" w:customStyle="1" w:styleId="rvps4">
    <w:name w:val="rvps4"/>
    <w:basedOn w:val="a"/>
    <w:uiPriority w:val="99"/>
    <w:semiHidden/>
    <w:pPr>
      <w:spacing w:before="300" w:after="150"/>
      <w:jc w:val="center"/>
    </w:pPr>
  </w:style>
  <w:style w:type="paragraph" w:customStyle="1" w:styleId="rvps5">
    <w:name w:val="rvps5"/>
    <w:basedOn w:val="a"/>
    <w:uiPriority w:val="99"/>
    <w:semiHidden/>
    <w:pPr>
      <w:ind w:left="450" w:right="450"/>
      <w:jc w:val="center"/>
    </w:pPr>
  </w:style>
  <w:style w:type="paragraph" w:customStyle="1" w:styleId="rvps6">
    <w:name w:val="rvps6"/>
    <w:basedOn w:val="a"/>
    <w:uiPriority w:val="99"/>
    <w:semiHidden/>
    <w:pPr>
      <w:spacing w:before="300" w:after="450"/>
      <w:ind w:left="450" w:right="450"/>
      <w:jc w:val="center"/>
    </w:pPr>
  </w:style>
  <w:style w:type="paragraph" w:customStyle="1" w:styleId="rvps7">
    <w:name w:val="rvps7"/>
    <w:basedOn w:val="a"/>
    <w:uiPriority w:val="99"/>
    <w:semiHidden/>
    <w:pPr>
      <w:spacing w:before="150" w:after="150"/>
      <w:ind w:left="450" w:right="450"/>
      <w:jc w:val="center"/>
    </w:pPr>
  </w:style>
  <w:style w:type="paragraph" w:customStyle="1" w:styleId="rvps8">
    <w:name w:val="rvps8"/>
    <w:basedOn w:val="a"/>
    <w:uiPriority w:val="99"/>
    <w:semiHidden/>
    <w:pPr>
      <w:spacing w:after="150"/>
      <w:jc w:val="both"/>
    </w:pPr>
  </w:style>
  <w:style w:type="paragraph" w:customStyle="1" w:styleId="rvps9">
    <w:name w:val="rvps9"/>
    <w:basedOn w:val="a"/>
    <w:uiPriority w:val="99"/>
    <w:semiHidden/>
    <w:pPr>
      <w:spacing w:after="150"/>
      <w:ind w:left="90"/>
    </w:pPr>
  </w:style>
  <w:style w:type="paragraph" w:customStyle="1" w:styleId="rvps10">
    <w:name w:val="rvps10"/>
    <w:basedOn w:val="a"/>
    <w:uiPriority w:val="99"/>
    <w:semiHidden/>
    <w:pPr>
      <w:spacing w:after="150"/>
      <w:jc w:val="right"/>
    </w:pPr>
  </w:style>
  <w:style w:type="paragraph" w:customStyle="1" w:styleId="rvps11">
    <w:name w:val="rvps11"/>
    <w:basedOn w:val="a"/>
    <w:uiPriority w:val="99"/>
    <w:semiHidden/>
    <w:pPr>
      <w:spacing w:before="150" w:after="150"/>
      <w:jc w:val="right"/>
    </w:pPr>
  </w:style>
  <w:style w:type="paragraph" w:customStyle="1" w:styleId="rvps12">
    <w:name w:val="rvps12"/>
    <w:basedOn w:val="a"/>
    <w:uiPriority w:val="99"/>
    <w:semiHidden/>
    <w:pPr>
      <w:spacing w:before="150" w:after="150"/>
      <w:jc w:val="center"/>
    </w:pPr>
  </w:style>
  <w:style w:type="paragraph" w:customStyle="1" w:styleId="rvps13">
    <w:name w:val="rvps13"/>
    <w:basedOn w:val="a"/>
    <w:uiPriority w:val="99"/>
    <w:semiHidden/>
    <w:pPr>
      <w:jc w:val="both"/>
    </w:pPr>
  </w:style>
  <w:style w:type="paragraph" w:customStyle="1" w:styleId="rvps14">
    <w:name w:val="rvps14"/>
    <w:basedOn w:val="a"/>
    <w:uiPriority w:val="99"/>
    <w:semiHidden/>
    <w:pPr>
      <w:spacing w:before="150" w:after="150"/>
    </w:pPr>
  </w:style>
  <w:style w:type="paragraph" w:customStyle="1" w:styleId="rvps15">
    <w:name w:val="rvps15"/>
    <w:basedOn w:val="a"/>
    <w:uiPriority w:val="99"/>
    <w:semiHidden/>
    <w:pPr>
      <w:spacing w:before="300"/>
      <w:jc w:val="right"/>
    </w:pPr>
  </w:style>
  <w:style w:type="paragraph" w:customStyle="1" w:styleId="rvps16">
    <w:name w:val="rvps16"/>
    <w:basedOn w:val="a"/>
    <w:uiPriority w:val="99"/>
    <w:semiHidden/>
    <w:pPr>
      <w:spacing w:before="300"/>
    </w:pPr>
  </w:style>
  <w:style w:type="paragraph" w:customStyle="1" w:styleId="rvps17">
    <w:name w:val="rvps17"/>
    <w:basedOn w:val="a"/>
    <w:uiPriority w:val="99"/>
    <w:semiHidden/>
    <w:pPr>
      <w:spacing w:before="300"/>
      <w:ind w:left="450" w:right="450"/>
      <w:jc w:val="center"/>
    </w:pPr>
  </w:style>
  <w:style w:type="paragraph" w:customStyle="1" w:styleId="rvps18">
    <w:name w:val="rvps18"/>
    <w:basedOn w:val="a"/>
    <w:uiPriority w:val="99"/>
    <w:semiHidden/>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343">
      <w:marLeft w:val="0"/>
      <w:marRight w:val="0"/>
      <w:marTop w:val="0"/>
      <w:marBottom w:val="150"/>
      <w:divBdr>
        <w:top w:val="none" w:sz="0" w:space="0" w:color="auto"/>
        <w:left w:val="none" w:sz="0" w:space="0" w:color="auto"/>
        <w:bottom w:val="none" w:sz="0" w:space="0" w:color="auto"/>
        <w:right w:val="none" w:sz="0" w:space="0" w:color="auto"/>
      </w:divBdr>
    </w:div>
    <w:div w:id="1299842425">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26-2020-%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26-2020-%D0%BF"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826-2020-%D0%BF" TargetMode="External"/><Relationship Id="rId10" Type="http://schemas.openxmlformats.org/officeDocument/2006/relationships/hyperlink" Target="https://zakon.rada.gov.ua/laws/show/1644-18" TargetMode="External"/><Relationship Id="rId4" Type="http://schemas.openxmlformats.org/officeDocument/2006/relationships/image" Target="https://zakonst.rada.gov.ua/images/gerb.gif" TargetMode="External"/><Relationship Id="rId9" Type="http://schemas.openxmlformats.org/officeDocument/2006/relationships/hyperlink" Target="https://zakon.rada.gov.ua/laws/show/1644-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Про реалізацію експериментального проекту щодо проведення електронних аукціонів з продажу необробленої деревини | від 04.12.2019 № 1178</vt:lpstr>
    </vt:vector>
  </TitlesOfParts>
  <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реалізацію експериментального проекту щодо проведення електронних аукціонів з продажу необробленої деревини | від 04.12.2019 № 1178</dc:title>
  <dc:subject/>
  <dc:creator>Nick</dc:creator>
  <cp:keywords/>
  <dc:description/>
  <cp:lastModifiedBy>Nick</cp:lastModifiedBy>
  <cp:revision>2</cp:revision>
  <dcterms:created xsi:type="dcterms:W3CDTF">2021-03-02T11:35:00Z</dcterms:created>
  <dcterms:modified xsi:type="dcterms:W3CDTF">2021-03-02T11:35:00Z</dcterms:modified>
</cp:coreProperties>
</file>